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D" w:rsidRDefault="003F6E7B" w:rsidP="00691F4D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P.</w:t>
      </w:r>
      <w:r w:rsidR="00F219CB">
        <w:rPr>
          <w:b/>
          <w:bCs/>
          <w:u w:val="single"/>
        </w:rPr>
        <w:t>10</w:t>
      </w:r>
      <w:r w:rsidR="00691F4D">
        <w:rPr>
          <w:b/>
          <w:bCs/>
          <w:u w:val="single"/>
        </w:rPr>
        <w:t xml:space="preserve">. </w:t>
      </w:r>
      <w:r w:rsidR="00691F4D" w:rsidRPr="00517FE1">
        <w:rPr>
          <w:b/>
          <w:bCs/>
          <w:u w:val="single"/>
        </w:rPr>
        <w:t>Control of Exposure to Bloodborne Pathogens</w:t>
      </w:r>
    </w:p>
    <w:p w:rsidR="003A6E8D" w:rsidRPr="00517FE1" w:rsidRDefault="003A6E8D" w:rsidP="00691F4D">
      <w:pPr>
        <w:rPr>
          <w:b/>
          <w:bCs/>
          <w:u w:val="single"/>
        </w:rPr>
      </w:pPr>
    </w:p>
    <w:p w:rsidR="001A15D6" w:rsidRDefault="003A6E8D" w:rsidP="00F15880">
      <w:pPr>
        <w:numPr>
          <w:ilvl w:val="0"/>
          <w:numId w:val="2"/>
        </w:numPr>
      </w:pPr>
      <w:r w:rsidRPr="001A15D6">
        <w:rPr>
          <w:u w:val="single"/>
        </w:rPr>
        <w:t>Purpose:</w:t>
      </w:r>
      <w:r>
        <w:t xml:space="preserve"> </w:t>
      </w:r>
      <w:r w:rsidR="00422900">
        <w:t xml:space="preserve"> </w:t>
      </w:r>
      <w:r w:rsidR="00431D56" w:rsidRPr="00150DC1">
        <w:t xml:space="preserve">The purpose of this </w:t>
      </w:r>
      <w:r w:rsidR="00B46228">
        <w:t xml:space="preserve">program element is </w:t>
      </w:r>
      <w:r w:rsidR="00431D56" w:rsidRPr="00150DC1">
        <w:t xml:space="preserve">to assure that </w:t>
      </w:r>
      <w:r w:rsidR="007228D5">
        <w:t xml:space="preserve">employees are protected </w:t>
      </w:r>
      <w:r w:rsidR="00691F4D">
        <w:t xml:space="preserve">against the hazards related to exposure to blood or other potentially infectious body fluids.  This also includes employee </w:t>
      </w:r>
      <w:r w:rsidR="00725355">
        <w:t xml:space="preserve">education, </w:t>
      </w:r>
      <w:r w:rsidR="00691F4D">
        <w:t>training</w:t>
      </w:r>
      <w:r w:rsidR="00725355">
        <w:t>,</w:t>
      </w:r>
      <w:r w:rsidR="00691F4D">
        <w:t xml:space="preserve"> and a procedure for implementing an immediate response should an exposure incident occur.</w:t>
      </w:r>
      <w:bookmarkStart w:id="1" w:name="P4"/>
      <w:bookmarkEnd w:id="1"/>
      <w:r w:rsidR="001A15D6">
        <w:t xml:space="preserve">  </w:t>
      </w:r>
    </w:p>
    <w:p w:rsidR="001A15D6" w:rsidRDefault="001A15D6" w:rsidP="001A15D6">
      <w:pPr>
        <w:ind w:left="90"/>
      </w:pPr>
    </w:p>
    <w:p w:rsidR="001A15D6" w:rsidRDefault="003A6E8D" w:rsidP="00F15880">
      <w:pPr>
        <w:numPr>
          <w:ilvl w:val="0"/>
          <w:numId w:val="2"/>
        </w:numPr>
      </w:pPr>
      <w:r w:rsidRPr="001A15D6">
        <w:rPr>
          <w:u w:val="single"/>
        </w:rPr>
        <w:t>Introduction:</w:t>
      </w:r>
      <w:r>
        <w:t xml:space="preserve"> </w:t>
      </w:r>
      <w:r w:rsidR="00422900">
        <w:t xml:space="preserve"> </w:t>
      </w:r>
      <w:r>
        <w:rPr>
          <w:rFonts w:ascii="Book Antiqua" w:hAnsi="Book Antiqua"/>
          <w:sz w:val="22"/>
        </w:rPr>
        <w:t xml:space="preserve">This </w:t>
      </w:r>
      <w:r w:rsidR="00B46228">
        <w:rPr>
          <w:rFonts w:ascii="Book Antiqua" w:hAnsi="Book Antiqua"/>
          <w:sz w:val="22"/>
        </w:rPr>
        <w:t>directive con</w:t>
      </w:r>
      <w:r>
        <w:rPr>
          <w:rFonts w:ascii="Book Antiqua" w:hAnsi="Book Antiqua"/>
          <w:sz w:val="22"/>
        </w:rPr>
        <w:t>tains the minimum requirements to protect employees from</w:t>
      </w:r>
      <w:r w:rsidR="00F4447B">
        <w:rPr>
          <w:rFonts w:ascii="Book Antiqua" w:hAnsi="Book Antiqua"/>
          <w:sz w:val="22"/>
        </w:rPr>
        <w:t xml:space="preserve"> </w:t>
      </w:r>
      <w:r w:rsidR="00223620">
        <w:t>bloodborne pathogens (BBPs)</w:t>
      </w:r>
      <w:r w:rsidR="00F4447B" w:rsidRPr="00F4447B">
        <w:t xml:space="preserve"> </w:t>
      </w:r>
      <w:r w:rsidR="00F4447B">
        <w:t xml:space="preserve">by eliminating or minimizing exposures.  </w:t>
      </w:r>
      <w:r w:rsidR="00223620">
        <w:t>Bloodborne pathogens are pathogenic microorganisms that are present in human blood and can cause disease in humans. These pathogens include, but are not limited to, the hepatitis B virus (HBV), the hepatitis C virus (HCV), and the human immunodeficiency virus (HIV</w:t>
      </w:r>
      <w:r w:rsidR="00F4447B">
        <w:t>).</w:t>
      </w:r>
    </w:p>
    <w:p w:rsidR="001A15D6" w:rsidRPr="001A15D6" w:rsidRDefault="001A15D6" w:rsidP="001A15D6">
      <w:pPr>
        <w:ind w:left="360"/>
      </w:pPr>
    </w:p>
    <w:p w:rsidR="00A437BE" w:rsidRPr="001A15D6" w:rsidRDefault="003C275F" w:rsidP="00F15880">
      <w:pPr>
        <w:numPr>
          <w:ilvl w:val="0"/>
          <w:numId w:val="2"/>
        </w:numPr>
      </w:pPr>
      <w:r w:rsidRPr="001A15D6">
        <w:rPr>
          <w:u w:val="single"/>
        </w:rPr>
        <w:t>Procedures Elements:</w:t>
      </w:r>
    </w:p>
    <w:p w:rsidR="001A15D6" w:rsidRDefault="001A15D6" w:rsidP="001A15D6">
      <w:pPr>
        <w:ind w:left="360"/>
      </w:pPr>
    </w:p>
    <w:p w:rsidR="001A15D6" w:rsidRDefault="001A15D6" w:rsidP="00F15880">
      <w:pPr>
        <w:pStyle w:val="DefaultText"/>
        <w:numPr>
          <w:ilvl w:val="0"/>
          <w:numId w:val="7"/>
        </w:numPr>
      </w:pPr>
      <w:r w:rsidRPr="001A15D6">
        <w:rPr>
          <w:u w:val="single"/>
        </w:rPr>
        <w:t xml:space="preserve">Hazard </w:t>
      </w:r>
      <w:r w:rsidR="003558AF">
        <w:rPr>
          <w:u w:val="single"/>
        </w:rPr>
        <w:t xml:space="preserve">and Exposure </w:t>
      </w:r>
      <w:r w:rsidRPr="001A15D6">
        <w:rPr>
          <w:u w:val="single"/>
        </w:rPr>
        <w:t>Assessment</w:t>
      </w:r>
      <w:r>
        <w:rPr>
          <w:u w:val="single"/>
        </w:rPr>
        <w:t>:</w:t>
      </w:r>
      <w:r w:rsidRPr="00A41DD2">
        <w:t xml:space="preserve"> </w:t>
      </w:r>
      <w:r w:rsidR="003558AF">
        <w:t>Conduct an assessment of the hazards and potential employee exposures to determine if a bloodborne pathogens</w:t>
      </w:r>
      <w:r w:rsidR="00B46228">
        <w:t xml:space="preserve"> (BBP)</w:t>
      </w:r>
      <w:r w:rsidR="003558AF">
        <w:t xml:space="preserve"> program is applicable for your agency.  </w:t>
      </w:r>
      <w:r w:rsidR="00F4447B">
        <w:t xml:space="preserve">Although </w:t>
      </w:r>
      <w:r w:rsidR="00F4447B">
        <w:rPr>
          <w:rStyle w:val="spelle"/>
        </w:rPr>
        <w:t>needle stick</w:t>
      </w:r>
      <w:r w:rsidR="00F4447B">
        <w:t xml:space="preserve"> injuries are the most common means of exposure, pathogens can also be transmitted through body fluids, mucous membranes, and non–intact skin. The majority of at-risk workers are in the healthcare field, but exposures can also occur to workers in general industrial and office settings.</w:t>
      </w:r>
    </w:p>
    <w:p w:rsidR="001A15D6" w:rsidRDefault="001A15D6" w:rsidP="001A15D6">
      <w:pPr>
        <w:numPr>
          <w:ilvl w:val="0"/>
          <w:numId w:val="1"/>
        </w:numPr>
      </w:pPr>
      <w:r>
        <w:t xml:space="preserve">A BBP program is applicable for agencies that place employees at risk for an occupational exposure to blood or other potential infectious material (OPIM). </w:t>
      </w:r>
    </w:p>
    <w:p w:rsidR="0071311C" w:rsidRDefault="00B46228" w:rsidP="00F15880">
      <w:pPr>
        <w:numPr>
          <w:ilvl w:val="0"/>
          <w:numId w:val="8"/>
        </w:numPr>
      </w:pPr>
      <w:r>
        <w:t>An o</w:t>
      </w:r>
      <w:r w:rsidR="0071311C">
        <w:t>ccupational exposure is defined as e</w:t>
      </w:r>
      <w:r w:rsidR="0071311C" w:rsidRPr="008E33EC">
        <w:t xml:space="preserve">mployees </w:t>
      </w:r>
      <w:r w:rsidR="0071311C">
        <w:t>with r</w:t>
      </w:r>
      <w:r w:rsidR="0071311C" w:rsidRPr="008E33EC">
        <w:t xml:space="preserve">easonably anticipated eye, mouth, other mucous membrane, non-intact skin, or parenteral contact with blood, bodily fluids or other potentially infectious materials that result from the performance of </w:t>
      </w:r>
      <w:r w:rsidR="0071311C">
        <w:t xml:space="preserve">their </w:t>
      </w:r>
      <w:r w:rsidR="0071311C" w:rsidRPr="008E33EC">
        <w:t>job duties</w:t>
      </w:r>
      <w:r w:rsidR="0071311C">
        <w:t>.</w:t>
      </w:r>
    </w:p>
    <w:p w:rsidR="008E33EC" w:rsidRDefault="00B46228" w:rsidP="00F15880">
      <w:pPr>
        <w:numPr>
          <w:ilvl w:val="1"/>
          <w:numId w:val="8"/>
        </w:numPr>
      </w:pPr>
      <w:r>
        <w:t>If applicable, all employees trained in f</w:t>
      </w:r>
      <w:r w:rsidR="008E33EC">
        <w:t xml:space="preserve">irst </w:t>
      </w:r>
      <w:r>
        <w:t>a</w:t>
      </w:r>
      <w:r w:rsidR="008E33EC">
        <w:t>id, CPR, and AED</w:t>
      </w:r>
      <w:r>
        <w:t>s must be included in the agency’s BBP program.</w:t>
      </w:r>
    </w:p>
    <w:p w:rsidR="008E33EC" w:rsidRDefault="00B46228" w:rsidP="00F15880">
      <w:pPr>
        <w:numPr>
          <w:ilvl w:val="1"/>
          <w:numId w:val="8"/>
        </w:numPr>
      </w:pPr>
      <w:r>
        <w:t>If applicable, all h</w:t>
      </w:r>
      <w:r w:rsidR="009D3D62">
        <w:t xml:space="preserve">ousekeeping </w:t>
      </w:r>
      <w:r>
        <w:t xml:space="preserve">staff </w:t>
      </w:r>
      <w:r w:rsidR="009D3D62">
        <w:t>or other employees</w:t>
      </w:r>
      <w:r>
        <w:t xml:space="preserve"> assigned the responsibility for </w:t>
      </w:r>
      <w:r w:rsidR="009D3D62">
        <w:t>cleaning up blood or other potentially infectious materials</w:t>
      </w:r>
      <w:r>
        <w:t xml:space="preserve"> must be included in the agency’s</w:t>
      </w:r>
      <w:r w:rsidR="00D8158B">
        <w:t xml:space="preserve"> BBP program.</w:t>
      </w:r>
    </w:p>
    <w:p w:rsidR="00B46228" w:rsidRDefault="00B46228" w:rsidP="00F15880">
      <w:pPr>
        <w:numPr>
          <w:ilvl w:val="1"/>
          <w:numId w:val="8"/>
        </w:numPr>
      </w:pPr>
      <w:r>
        <w:t>Document assessment for each work area, job classification, or task.</w:t>
      </w:r>
    </w:p>
    <w:p w:rsidR="00440394" w:rsidRDefault="00440394" w:rsidP="00440394"/>
    <w:p w:rsidR="00A437BE" w:rsidRDefault="00A437BE" w:rsidP="00F15880">
      <w:pPr>
        <w:pStyle w:val="DefaultText"/>
        <w:numPr>
          <w:ilvl w:val="0"/>
          <w:numId w:val="7"/>
        </w:numPr>
      </w:pPr>
      <w:r w:rsidRPr="001A15D6">
        <w:rPr>
          <w:u w:val="single"/>
        </w:rPr>
        <w:t>Applicable Standards:</w:t>
      </w:r>
      <w:r w:rsidRPr="00440394">
        <w:t xml:space="preserve"> </w:t>
      </w:r>
      <w:r w:rsidRPr="00A41DD2">
        <w:t xml:space="preserve"> </w:t>
      </w:r>
      <w:r>
        <w:t xml:space="preserve">Numerous </w:t>
      </w:r>
      <w:r w:rsidRPr="00A41DD2">
        <w:t xml:space="preserve">standards and regulations pertain to </w:t>
      </w:r>
      <w:r w:rsidR="0071311C">
        <w:t xml:space="preserve">bloodborne pathogens </w:t>
      </w:r>
      <w:r>
        <w:t>and control practices.  The following list includes several of the possible standards that may apply, but it is not inclusive</w:t>
      </w:r>
    </w:p>
    <w:p w:rsidR="004435C0" w:rsidRDefault="004435C0" w:rsidP="00F15880">
      <w:pPr>
        <w:numPr>
          <w:ilvl w:val="0"/>
          <w:numId w:val="4"/>
        </w:numPr>
      </w:pPr>
      <w:r>
        <w:t>Pennsylvania Department of Health’s Guidelines on Bloodborne Pathogens for the Public Sector.</w:t>
      </w:r>
    </w:p>
    <w:p w:rsidR="00506B3E" w:rsidRDefault="00506B3E" w:rsidP="00F15880">
      <w:pPr>
        <w:numPr>
          <w:ilvl w:val="0"/>
          <w:numId w:val="4"/>
        </w:numPr>
      </w:pPr>
      <w:r>
        <w:t xml:space="preserve">Management Directive 505.26, HIV/AIDS and Other Bloodborne Infections/Diseases in the Workplace. </w:t>
      </w:r>
    </w:p>
    <w:p w:rsidR="00A437BE" w:rsidRDefault="00A437BE" w:rsidP="00F15880">
      <w:pPr>
        <w:numPr>
          <w:ilvl w:val="0"/>
          <w:numId w:val="4"/>
        </w:numPr>
      </w:pPr>
      <w:r>
        <w:t>OSHA 29 CFR 1910.1030</w:t>
      </w:r>
    </w:p>
    <w:p w:rsidR="00A437BE" w:rsidRDefault="00A437BE" w:rsidP="00F15880">
      <w:pPr>
        <w:numPr>
          <w:ilvl w:val="0"/>
          <w:numId w:val="4"/>
        </w:numPr>
      </w:pPr>
      <w:r>
        <w:t xml:space="preserve">OSHA 29 CFR </w:t>
      </w:r>
      <w:r w:rsidRPr="00792022">
        <w:t>Subpart Z—Toxic and Hazardous Substances</w:t>
      </w:r>
      <w:r w:rsidR="00FC5B1A">
        <w:t>.</w:t>
      </w:r>
    </w:p>
    <w:p w:rsidR="00A437BE" w:rsidRDefault="00A437BE" w:rsidP="00F15880">
      <w:pPr>
        <w:numPr>
          <w:ilvl w:val="0"/>
          <w:numId w:val="4"/>
        </w:numPr>
      </w:pPr>
      <w:r w:rsidRPr="00792022">
        <w:t xml:space="preserve">CPL 2-2.69 </w:t>
      </w:r>
      <w:r w:rsidR="00FC5B1A">
        <w:t xml:space="preserve">- </w:t>
      </w:r>
      <w:r>
        <w:t xml:space="preserve">(Compliance Directive) </w:t>
      </w:r>
      <w:r w:rsidRPr="00792022">
        <w:t xml:space="preserve">Enforcement Procedures for the Occupational Exposure to </w:t>
      </w:r>
      <w:r w:rsidRPr="00792022">
        <w:rPr>
          <w:rStyle w:val="spelle"/>
        </w:rPr>
        <w:t>Bloodborne</w:t>
      </w:r>
      <w:r w:rsidRPr="00792022">
        <w:t xml:space="preserve"> Pathogens</w:t>
      </w:r>
      <w:r w:rsidR="00FC5B1A">
        <w:t>.</w:t>
      </w:r>
    </w:p>
    <w:p w:rsidR="00C20BA7" w:rsidRPr="00A437BE" w:rsidRDefault="00A437BE" w:rsidP="00F15880">
      <w:pPr>
        <w:numPr>
          <w:ilvl w:val="0"/>
          <w:numId w:val="4"/>
        </w:numPr>
      </w:pPr>
      <w:r>
        <w:t>CPL 2-2.36</w:t>
      </w:r>
      <w:r w:rsidR="00FC5B1A">
        <w:t xml:space="preserve"> - </w:t>
      </w:r>
      <w:r>
        <w:t xml:space="preserve">(Compliance Directive) </w:t>
      </w:r>
      <w:r w:rsidRPr="00792022">
        <w:t>Hepatitis B Risks in the Health Care System</w:t>
      </w:r>
      <w:r w:rsidR="00223620">
        <w:t>.</w:t>
      </w:r>
    </w:p>
    <w:p w:rsidR="00684A4E" w:rsidRDefault="00684A4E" w:rsidP="00684A4E">
      <w:pPr>
        <w:pStyle w:val="DefaultText"/>
        <w:ind w:left="360"/>
      </w:pPr>
    </w:p>
    <w:p w:rsidR="00691F4D" w:rsidRDefault="00422900" w:rsidP="00F15880">
      <w:pPr>
        <w:pStyle w:val="DefaultText"/>
        <w:numPr>
          <w:ilvl w:val="0"/>
          <w:numId w:val="3"/>
        </w:numPr>
      </w:pPr>
      <w:r w:rsidRPr="00A41DD2">
        <w:rPr>
          <w:u w:val="single"/>
        </w:rPr>
        <w:t>Written Procedure</w:t>
      </w:r>
      <w:r w:rsidRPr="00A41DD2">
        <w:t xml:space="preserve">: </w:t>
      </w:r>
      <w:r w:rsidRPr="00CA1DE6">
        <w:rPr>
          <w:szCs w:val="24"/>
        </w:rPr>
        <w:t>Develop a written</w:t>
      </w:r>
      <w:r w:rsidR="00CA1DE6" w:rsidRPr="00CA1DE6">
        <w:rPr>
          <w:szCs w:val="24"/>
        </w:rPr>
        <w:t xml:space="preserve"> </w:t>
      </w:r>
      <w:r w:rsidR="00CA1DE6">
        <w:rPr>
          <w:szCs w:val="24"/>
        </w:rPr>
        <w:t>e</w:t>
      </w:r>
      <w:r w:rsidR="00CA1DE6" w:rsidRPr="00CA1DE6">
        <w:rPr>
          <w:color w:val="000000"/>
          <w:szCs w:val="24"/>
        </w:rPr>
        <w:t xml:space="preserve">xposure </w:t>
      </w:r>
      <w:r w:rsidR="00CA1DE6">
        <w:rPr>
          <w:color w:val="000000"/>
          <w:szCs w:val="24"/>
        </w:rPr>
        <w:t>c</w:t>
      </w:r>
      <w:r w:rsidR="00CA1DE6" w:rsidRPr="00CA1DE6">
        <w:rPr>
          <w:color w:val="000000"/>
          <w:szCs w:val="24"/>
        </w:rPr>
        <w:t xml:space="preserve">ontrol </w:t>
      </w:r>
      <w:r w:rsidR="00CA1DE6">
        <w:rPr>
          <w:color w:val="000000"/>
          <w:szCs w:val="24"/>
        </w:rPr>
        <w:t>p</w:t>
      </w:r>
      <w:r w:rsidR="00CA1DE6" w:rsidRPr="00CA1DE6">
        <w:rPr>
          <w:color w:val="000000"/>
          <w:szCs w:val="24"/>
        </w:rPr>
        <w:t xml:space="preserve">lan designed to eliminate or minimize employee exposure.  Ensure the plan is </w:t>
      </w:r>
      <w:r w:rsidRPr="00CA1DE6">
        <w:rPr>
          <w:szCs w:val="24"/>
        </w:rPr>
        <w:t xml:space="preserve">consistent with </w:t>
      </w:r>
      <w:r w:rsidR="00CA1DE6" w:rsidRPr="00CA1DE6">
        <w:rPr>
          <w:szCs w:val="24"/>
        </w:rPr>
        <w:t xml:space="preserve">the </w:t>
      </w:r>
      <w:r w:rsidR="00FC5B1A" w:rsidRPr="00CA1DE6">
        <w:rPr>
          <w:szCs w:val="24"/>
        </w:rPr>
        <w:t xml:space="preserve">Pennsylvania </w:t>
      </w:r>
      <w:r w:rsidR="00CA1DE6" w:rsidRPr="00CA1DE6">
        <w:rPr>
          <w:szCs w:val="24"/>
        </w:rPr>
        <w:t xml:space="preserve">Department of Health’s guidelines and </w:t>
      </w:r>
      <w:r w:rsidR="00FC5B1A" w:rsidRPr="00CA1DE6">
        <w:rPr>
          <w:szCs w:val="24"/>
        </w:rPr>
        <w:t xml:space="preserve">general </w:t>
      </w:r>
      <w:r w:rsidRPr="00CA1DE6">
        <w:rPr>
          <w:szCs w:val="24"/>
        </w:rPr>
        <w:t>industry regulatory standards</w:t>
      </w:r>
      <w:r w:rsidR="00CA1DE6" w:rsidRPr="00CA1DE6">
        <w:rPr>
          <w:szCs w:val="24"/>
        </w:rPr>
        <w:t xml:space="preserve"> concerning bloodborne pathogens.  The </w:t>
      </w:r>
      <w:r w:rsidR="00CA1DE6" w:rsidRPr="00CA1DE6">
        <w:rPr>
          <w:szCs w:val="24"/>
        </w:rPr>
        <w:lastRenderedPageBreak/>
        <w:t xml:space="preserve">written plan </w:t>
      </w:r>
      <w:r w:rsidR="00866F01">
        <w:rPr>
          <w:szCs w:val="24"/>
        </w:rPr>
        <w:t xml:space="preserve">must address the needs and exposures of the agency and </w:t>
      </w:r>
      <w:r w:rsidR="00CA1DE6" w:rsidRPr="00CA1DE6">
        <w:rPr>
          <w:szCs w:val="24"/>
        </w:rPr>
        <w:t xml:space="preserve">cover, </w:t>
      </w:r>
      <w:r w:rsidR="00866F01">
        <w:rPr>
          <w:szCs w:val="24"/>
        </w:rPr>
        <w:t xml:space="preserve">as applicable, </w:t>
      </w:r>
      <w:r w:rsidR="00CA1DE6" w:rsidRPr="00CA1DE6">
        <w:rPr>
          <w:szCs w:val="24"/>
        </w:rPr>
        <w:t>the following areas.</w:t>
      </w:r>
    </w:p>
    <w:p w:rsidR="000B3849" w:rsidRPr="00D8158B" w:rsidRDefault="0071311C" w:rsidP="00F15880">
      <w:pPr>
        <w:numPr>
          <w:ilvl w:val="0"/>
          <w:numId w:val="5"/>
        </w:numPr>
      </w:pPr>
      <w:r w:rsidRPr="00D8158B">
        <w:t xml:space="preserve">List the </w:t>
      </w:r>
      <w:r w:rsidR="00D8158B" w:rsidRPr="00D8158B">
        <w:t xml:space="preserve">job classifications, </w:t>
      </w:r>
      <w:r w:rsidR="00D8158B">
        <w:t xml:space="preserve">locations, </w:t>
      </w:r>
      <w:r w:rsidR="00D8158B" w:rsidRPr="00D8158B">
        <w:t xml:space="preserve">tasks, and/or procedures where there is </w:t>
      </w:r>
      <w:r w:rsidR="00857B16">
        <w:t xml:space="preserve">the potential for </w:t>
      </w:r>
      <w:r w:rsidR="00D8158B" w:rsidRPr="00D8158B">
        <w:t xml:space="preserve">occupational exposure to blood </w:t>
      </w:r>
      <w:r w:rsidR="00857B16">
        <w:t xml:space="preserve">or </w:t>
      </w:r>
      <w:r w:rsidR="00D8158B" w:rsidRPr="00D8158B">
        <w:t>OPIM.</w:t>
      </w:r>
    </w:p>
    <w:p w:rsidR="00196224" w:rsidRDefault="00D8158B" w:rsidP="00F15880">
      <w:pPr>
        <w:numPr>
          <w:ilvl w:val="0"/>
          <w:numId w:val="5"/>
        </w:numPr>
      </w:pPr>
      <w:r>
        <w:t>List the names or job classifications of the individuals responsible for maintaining the BBP program and outline their duties.</w:t>
      </w:r>
    </w:p>
    <w:p w:rsidR="00196224" w:rsidRDefault="00196224" w:rsidP="00F15880">
      <w:pPr>
        <w:numPr>
          <w:ilvl w:val="0"/>
          <w:numId w:val="5"/>
        </w:numPr>
      </w:pPr>
      <w:r>
        <w:t xml:space="preserve">Establish a methodology and list an </w:t>
      </w:r>
      <w:r w:rsidRPr="00196224">
        <w:t>implementation schedule for</w:t>
      </w:r>
      <w:r>
        <w:t xml:space="preserve"> the various requirements of the exposure control plan.</w:t>
      </w:r>
    </w:p>
    <w:p w:rsidR="00C82AFA" w:rsidRDefault="00DD345A" w:rsidP="00F15880">
      <w:pPr>
        <w:numPr>
          <w:ilvl w:val="0"/>
          <w:numId w:val="5"/>
        </w:numPr>
      </w:pPr>
      <w:r>
        <w:t>P</w:t>
      </w:r>
      <w:r w:rsidR="00C82AFA">
        <w:t>rocedures for the use of universal precautions to prevent contact with blood and other potentially infectious materials.</w:t>
      </w:r>
    </w:p>
    <w:p w:rsidR="00C82AFA" w:rsidRDefault="00DD345A" w:rsidP="00F15880">
      <w:pPr>
        <w:numPr>
          <w:ilvl w:val="0"/>
          <w:numId w:val="5"/>
        </w:numPr>
      </w:pPr>
      <w:r>
        <w:t>S</w:t>
      </w:r>
      <w:r w:rsidR="00C82AFA">
        <w:t>afe work practices to eliminate or minimize employee exposures.  Examples of work practices include, but are not limited to, the following:</w:t>
      </w:r>
    </w:p>
    <w:p w:rsidR="00C82AFA" w:rsidRDefault="00C82AFA" w:rsidP="00F15880">
      <w:pPr>
        <w:numPr>
          <w:ilvl w:val="0"/>
          <w:numId w:val="15"/>
        </w:numPr>
      </w:pPr>
      <w:r>
        <w:t xml:space="preserve">Proper </w:t>
      </w:r>
      <w:r w:rsidR="002D7C18">
        <w:t xml:space="preserve">hand washing and hand sanitation </w:t>
      </w:r>
      <w:r>
        <w:t>procedures</w:t>
      </w:r>
      <w:r w:rsidR="002D7C18">
        <w:t>.</w:t>
      </w:r>
    </w:p>
    <w:p w:rsidR="00196224" w:rsidRDefault="00C82AFA" w:rsidP="00F15880">
      <w:pPr>
        <w:numPr>
          <w:ilvl w:val="0"/>
          <w:numId w:val="15"/>
        </w:numPr>
      </w:pPr>
      <w:r>
        <w:t>Procedures for the recapping or removing needles with a mechanical device or one-handed technique</w:t>
      </w:r>
      <w:r w:rsidR="00196224">
        <w:t>.</w:t>
      </w:r>
    </w:p>
    <w:p w:rsidR="00196224" w:rsidRDefault="00487EDE" w:rsidP="00F15880">
      <w:pPr>
        <w:numPr>
          <w:ilvl w:val="0"/>
          <w:numId w:val="15"/>
        </w:numPr>
      </w:pPr>
      <w:r>
        <w:t>Procedures or methods to minimize splashing, spraying, splattering, and generation of droplets of blood or OPIM.</w:t>
      </w:r>
    </w:p>
    <w:p w:rsidR="00196224" w:rsidRDefault="00196224" w:rsidP="00F15880">
      <w:pPr>
        <w:numPr>
          <w:ilvl w:val="0"/>
          <w:numId w:val="15"/>
        </w:numPr>
      </w:pPr>
      <w:r>
        <w:t>Procedures to</w:t>
      </w:r>
      <w:r w:rsidR="00C82AFA">
        <w:t xml:space="preserve"> handle broken</w:t>
      </w:r>
      <w:r w:rsidR="002D7C18">
        <w:t>, bent, or contaminated</w:t>
      </w:r>
      <w:r w:rsidR="00C82AFA">
        <w:t xml:space="preserve"> sharps</w:t>
      </w:r>
      <w:r w:rsidR="002D7C18">
        <w:t>.</w:t>
      </w:r>
    </w:p>
    <w:p w:rsidR="00C82AFA" w:rsidRDefault="00196224" w:rsidP="00F15880">
      <w:pPr>
        <w:numPr>
          <w:ilvl w:val="0"/>
          <w:numId w:val="15"/>
        </w:numPr>
      </w:pPr>
      <w:r>
        <w:t xml:space="preserve">Procedures for </w:t>
      </w:r>
      <w:r w:rsidR="00C82AFA">
        <w:t>spill clean-up.</w:t>
      </w:r>
    </w:p>
    <w:p w:rsidR="002D7C18" w:rsidRDefault="00487EDE" w:rsidP="00F15880">
      <w:pPr>
        <w:numPr>
          <w:ilvl w:val="0"/>
          <w:numId w:val="15"/>
        </w:numPr>
      </w:pPr>
      <w:r>
        <w:t>P</w:t>
      </w:r>
      <w:r w:rsidR="002D7C18">
        <w:t xml:space="preserve">rohibited work practices in areas where there is a reasonable likelihood of exposure to blood or OPIM.  Examples include eating, drinking, applying cosmetics or lip balm, smoking, handling contacts or storing food/beverages in areas where blood or OPIM are present. </w:t>
      </w:r>
    </w:p>
    <w:p w:rsidR="00BB20DA" w:rsidRDefault="00DD345A" w:rsidP="00F15880">
      <w:pPr>
        <w:numPr>
          <w:ilvl w:val="0"/>
          <w:numId w:val="5"/>
        </w:numPr>
      </w:pPr>
      <w:r>
        <w:t>E</w:t>
      </w:r>
      <w:r w:rsidR="00BB20DA">
        <w:t>ngineering controls to eliminate or minimize employee exposure as feasible.  Examples include needleless systems and sharps with engineered injury-protection.</w:t>
      </w:r>
    </w:p>
    <w:p w:rsidR="00C82AFA" w:rsidRDefault="00BB20DA" w:rsidP="00F15880">
      <w:pPr>
        <w:numPr>
          <w:ilvl w:val="1"/>
          <w:numId w:val="15"/>
        </w:numPr>
      </w:pPr>
      <w:r>
        <w:t>Before an engineering control can be introduced, employees must receive education on its use.</w:t>
      </w:r>
    </w:p>
    <w:p w:rsidR="00DD345A" w:rsidRDefault="00DD345A" w:rsidP="00F15880">
      <w:pPr>
        <w:numPr>
          <w:ilvl w:val="0"/>
          <w:numId w:val="5"/>
        </w:numPr>
      </w:pPr>
      <w:r>
        <w:t>Procedures for cleaning and decontamination of equipment, work areas, instruments, and laundry after spills or contact with blood or other potentially infectious materials.</w:t>
      </w:r>
    </w:p>
    <w:p w:rsidR="00467CA6" w:rsidRDefault="00467CA6" w:rsidP="00F15880">
      <w:pPr>
        <w:numPr>
          <w:ilvl w:val="0"/>
          <w:numId w:val="16"/>
        </w:numPr>
      </w:pPr>
      <w:r>
        <w:t>List the areas and schedule for cleaning and decontamination.</w:t>
      </w:r>
    </w:p>
    <w:p w:rsidR="002E34AE" w:rsidRDefault="00DD345A" w:rsidP="00F15880">
      <w:pPr>
        <w:numPr>
          <w:ilvl w:val="0"/>
          <w:numId w:val="5"/>
        </w:numPr>
      </w:pPr>
      <w:r>
        <w:t xml:space="preserve">Procedures for the proper handling, storage, and disposal of </w:t>
      </w:r>
      <w:r w:rsidR="00715C8A">
        <w:t xml:space="preserve">blood or OPIM including </w:t>
      </w:r>
      <w:r>
        <w:t>contaminated trash and infectious waste.</w:t>
      </w:r>
    </w:p>
    <w:p w:rsidR="002E34AE" w:rsidRDefault="00715C8A" w:rsidP="00F15880">
      <w:pPr>
        <w:numPr>
          <w:ilvl w:val="1"/>
          <w:numId w:val="16"/>
        </w:numPr>
      </w:pPr>
      <w:r>
        <w:t>Sharps containers shall be as close to the work area as possible, positioned at a convenient level for use, and maintained in a safe, secure manner. Containers shall be puncture resistant, labeled or color-coded, and leak proof on sides and bottom.</w:t>
      </w:r>
    </w:p>
    <w:p w:rsidR="00715C8A" w:rsidRDefault="00715C8A" w:rsidP="00F15880">
      <w:pPr>
        <w:numPr>
          <w:ilvl w:val="1"/>
          <w:numId w:val="16"/>
        </w:numPr>
      </w:pPr>
      <w:r>
        <w:t xml:space="preserve">List the locations of where biohazard waste, sharps containers, and spill kits are </w:t>
      </w:r>
      <w:r w:rsidR="005276CA">
        <w:t>maintained</w:t>
      </w:r>
      <w:r>
        <w:t>.</w:t>
      </w:r>
    </w:p>
    <w:p w:rsidR="00715C8A" w:rsidRDefault="00715C8A" w:rsidP="00F15880">
      <w:pPr>
        <w:numPr>
          <w:ilvl w:val="1"/>
          <w:numId w:val="16"/>
        </w:numPr>
      </w:pPr>
      <w:r>
        <w:t>List the name or job titles of individuals responsible for maintenance and disposal of BBP/OPIM waste.</w:t>
      </w:r>
    </w:p>
    <w:p w:rsidR="00715C8A" w:rsidRDefault="00715C8A" w:rsidP="00F15880">
      <w:pPr>
        <w:numPr>
          <w:ilvl w:val="1"/>
          <w:numId w:val="16"/>
        </w:numPr>
      </w:pPr>
      <w:r>
        <w:t>Warning labels, including the orange or orange-red biohazard symbol, shall be affixed to containers of regulated waste, refrigerators, freezers, or other containers</w:t>
      </w:r>
      <w:r w:rsidR="00B523E5">
        <w:t xml:space="preserve">/areas </w:t>
      </w:r>
      <w:r>
        <w:t>used to store or transport blood, or other potentially infectious materials.</w:t>
      </w:r>
    </w:p>
    <w:p w:rsidR="00B523E5" w:rsidRDefault="00B523E5" w:rsidP="00F15880">
      <w:pPr>
        <w:numPr>
          <w:ilvl w:val="1"/>
          <w:numId w:val="16"/>
        </w:numPr>
      </w:pPr>
      <w:r>
        <w:t>All regulated waste, other than sharps, shall be placed into at least two appropriately labeled or color-coded plastic bags, and securely closed to prevent spillage.</w:t>
      </w:r>
    </w:p>
    <w:p w:rsidR="00B523E5" w:rsidRDefault="00B523E5" w:rsidP="00F15880">
      <w:pPr>
        <w:numPr>
          <w:ilvl w:val="1"/>
          <w:numId w:val="16"/>
        </w:numPr>
      </w:pPr>
      <w:r>
        <w:t>Disposal, storage and transport shall be in accordance with applicable regulations and requirements of the PA Department of Environmental Protection.</w:t>
      </w:r>
    </w:p>
    <w:p w:rsidR="00C37D6E" w:rsidRDefault="00C37D6E" w:rsidP="00F15880">
      <w:pPr>
        <w:numPr>
          <w:ilvl w:val="0"/>
          <w:numId w:val="5"/>
        </w:numPr>
      </w:pPr>
      <w:r>
        <w:t xml:space="preserve">Procedures for the </w:t>
      </w:r>
      <w:r w:rsidR="008E45C7">
        <w:t xml:space="preserve">selection, </w:t>
      </w:r>
      <w:r>
        <w:t xml:space="preserve">provision and use of personal protective equipment (PPE) when potential exposures remain </w:t>
      </w:r>
      <w:r w:rsidR="008E45C7">
        <w:t xml:space="preserve">despite </w:t>
      </w:r>
      <w:r>
        <w:t>engineering and work practice</w:t>
      </w:r>
      <w:r w:rsidR="008E45C7">
        <w:t xml:space="preserve"> controls</w:t>
      </w:r>
      <w:r>
        <w:t>.</w:t>
      </w:r>
    </w:p>
    <w:p w:rsidR="00C37D6E" w:rsidRDefault="00C37D6E" w:rsidP="00F15880">
      <w:pPr>
        <w:numPr>
          <w:ilvl w:val="2"/>
          <w:numId w:val="16"/>
        </w:numPr>
      </w:pPr>
      <w:r>
        <w:t>Employers shall require the use of the appropriate PPE and provide it at no cost to the employee.</w:t>
      </w:r>
    </w:p>
    <w:p w:rsidR="002E34AE" w:rsidRDefault="00C37D6E" w:rsidP="00F15880">
      <w:pPr>
        <w:numPr>
          <w:ilvl w:val="2"/>
          <w:numId w:val="16"/>
        </w:numPr>
      </w:pPr>
      <w:r>
        <w:lastRenderedPageBreak/>
        <w:t>Examples include, but are not limited to, gloves</w:t>
      </w:r>
      <w:r w:rsidR="008E45C7">
        <w:t xml:space="preserve"> </w:t>
      </w:r>
      <w:r w:rsidR="008E45C7">
        <w:rPr>
          <w:bCs/>
        </w:rPr>
        <w:t>(disposable and reusable)</w:t>
      </w:r>
      <w:r>
        <w:t xml:space="preserve">, gowns, masks, mouthpieces and resuscitation bags, eye protection, </w:t>
      </w:r>
      <w:r w:rsidR="008E45C7">
        <w:t xml:space="preserve">and </w:t>
      </w:r>
      <w:r>
        <w:t>face shields</w:t>
      </w:r>
      <w:r w:rsidR="008E45C7">
        <w:t>.</w:t>
      </w:r>
    </w:p>
    <w:p w:rsidR="008E45C7" w:rsidRDefault="008E45C7" w:rsidP="00F15880">
      <w:pPr>
        <w:numPr>
          <w:ilvl w:val="2"/>
          <w:numId w:val="16"/>
        </w:numPr>
      </w:pPr>
      <w:r>
        <w:t xml:space="preserve">List the locations of PPE and the individuals or job titles responsible for maintaining the PPE.  </w:t>
      </w:r>
    </w:p>
    <w:p w:rsidR="008E45C7" w:rsidRDefault="008E45C7" w:rsidP="00F15880">
      <w:pPr>
        <w:numPr>
          <w:ilvl w:val="0"/>
          <w:numId w:val="5"/>
        </w:numPr>
      </w:pPr>
      <w:r>
        <w:t>Describe the protocol used for offering the Hepatitis B Vaccinations to all employees at risk for exposure to blood or OPIM, at no cost to the employee.</w:t>
      </w:r>
    </w:p>
    <w:p w:rsidR="008E45C7" w:rsidRDefault="008E45C7" w:rsidP="00F15880">
      <w:pPr>
        <w:numPr>
          <w:ilvl w:val="1"/>
          <w:numId w:val="14"/>
        </w:numPr>
      </w:pPr>
      <w:r>
        <w:t>List the name, job classification or contract organization responsible for administering the Hepatitis B vaccinations.</w:t>
      </w:r>
    </w:p>
    <w:p w:rsidR="008E45C7" w:rsidRDefault="008E45C7" w:rsidP="00F15880">
      <w:pPr>
        <w:numPr>
          <w:ilvl w:val="1"/>
          <w:numId w:val="14"/>
        </w:numPr>
      </w:pPr>
      <w:r>
        <w:t>Document employees who were offered, received, or declined the hepatitis B vaccination.</w:t>
      </w:r>
    </w:p>
    <w:p w:rsidR="00BF0A89" w:rsidRDefault="00BF0A89" w:rsidP="00F15880">
      <w:pPr>
        <w:numPr>
          <w:ilvl w:val="1"/>
          <w:numId w:val="14"/>
        </w:numPr>
      </w:pPr>
      <w:r>
        <w:t>Employees who refuse the vaccination must sign a declination form, but can later      decide to receive the vaccination.</w:t>
      </w:r>
    </w:p>
    <w:p w:rsidR="002E34AE" w:rsidRDefault="00BF0A89" w:rsidP="00F15880">
      <w:pPr>
        <w:numPr>
          <w:ilvl w:val="1"/>
          <w:numId w:val="14"/>
        </w:numPr>
      </w:pPr>
      <w:r>
        <w:t>Vaccinations and boosters shall be administered according to the latest recommendations of the U.S. Public Health Service.</w:t>
      </w:r>
    </w:p>
    <w:p w:rsidR="008E45C7" w:rsidRDefault="005276CA" w:rsidP="00F15880">
      <w:pPr>
        <w:numPr>
          <w:ilvl w:val="0"/>
          <w:numId w:val="5"/>
        </w:numPr>
      </w:pPr>
      <w:r>
        <w:t>Describe the procedures used to provide care and treatment to employees who have been exposed to BBP and/or OPIM.</w:t>
      </w:r>
    </w:p>
    <w:p w:rsidR="008E45C7" w:rsidRDefault="008C518D" w:rsidP="00F15880">
      <w:pPr>
        <w:numPr>
          <w:ilvl w:val="2"/>
          <w:numId w:val="14"/>
        </w:numPr>
      </w:pPr>
      <w:r>
        <w:t>Following an exposure incident, the employer shall immediately make available to the employee a confidential medical evaluation, including laboratory tests, and follow-up.</w:t>
      </w:r>
    </w:p>
    <w:p w:rsidR="008C518D" w:rsidRDefault="008C518D" w:rsidP="00F15880">
      <w:pPr>
        <w:numPr>
          <w:ilvl w:val="2"/>
          <w:numId w:val="14"/>
        </w:numPr>
      </w:pPr>
      <w:r>
        <w:t>The evaluation and follow-up must include the following:</w:t>
      </w:r>
    </w:p>
    <w:p w:rsidR="008C518D" w:rsidRDefault="008C518D" w:rsidP="00F15880">
      <w:pPr>
        <w:numPr>
          <w:ilvl w:val="0"/>
          <w:numId w:val="17"/>
        </w:numPr>
      </w:pPr>
      <w:r>
        <w:t>Documentation of the routes and circumstances of the exposure.</w:t>
      </w:r>
    </w:p>
    <w:p w:rsidR="008C518D" w:rsidRDefault="008C518D" w:rsidP="00F15880">
      <w:pPr>
        <w:numPr>
          <w:ilvl w:val="0"/>
          <w:numId w:val="17"/>
        </w:numPr>
      </w:pPr>
      <w:r>
        <w:t xml:space="preserve">Identification, acquisition of consent, and testing of source individual where feasible. </w:t>
      </w:r>
    </w:p>
    <w:p w:rsidR="008C518D" w:rsidRDefault="008C518D" w:rsidP="00F15880">
      <w:pPr>
        <w:numPr>
          <w:ilvl w:val="0"/>
          <w:numId w:val="17"/>
        </w:numPr>
      </w:pPr>
      <w:r>
        <w:t>Post-exposure treatment.</w:t>
      </w:r>
    </w:p>
    <w:p w:rsidR="008C518D" w:rsidRDefault="008C518D" w:rsidP="00F15880">
      <w:pPr>
        <w:numPr>
          <w:ilvl w:val="0"/>
          <w:numId w:val="17"/>
        </w:numPr>
      </w:pPr>
      <w:r>
        <w:t>Counseling and evaluation of the employee’s condition or reported illness.</w:t>
      </w:r>
    </w:p>
    <w:p w:rsidR="008C518D" w:rsidRDefault="008C518D" w:rsidP="00F15880">
      <w:pPr>
        <w:numPr>
          <w:ilvl w:val="0"/>
          <w:numId w:val="17"/>
        </w:numPr>
      </w:pPr>
      <w:r>
        <w:t>Provide physician or health care professional with copy of state guidelines, and information about the employee’s exposure and vaccination status.</w:t>
      </w:r>
    </w:p>
    <w:p w:rsidR="008C518D" w:rsidRDefault="008C518D" w:rsidP="00F15880">
      <w:pPr>
        <w:numPr>
          <w:ilvl w:val="0"/>
          <w:numId w:val="17"/>
        </w:numPr>
      </w:pPr>
      <w:r>
        <w:t>Provide employee with a copy of the health care professional’s written evaluation results within 15 days of the completed evaluation.</w:t>
      </w:r>
    </w:p>
    <w:p w:rsidR="00820419" w:rsidRDefault="008C518D" w:rsidP="00F15880">
      <w:pPr>
        <w:numPr>
          <w:ilvl w:val="0"/>
          <w:numId w:val="17"/>
        </w:numPr>
      </w:pPr>
      <w:r>
        <w:t>All other findings and diagnoses shall remain confidential and shall not be included in the written report.</w:t>
      </w:r>
    </w:p>
    <w:p w:rsidR="00820419" w:rsidRDefault="00820419" w:rsidP="00F15880">
      <w:pPr>
        <w:numPr>
          <w:ilvl w:val="1"/>
          <w:numId w:val="17"/>
        </w:numPr>
      </w:pPr>
      <w:r>
        <w:t>Medical records are maintained in a confidential file for each employee with an occupational exposure to BBP’s.</w:t>
      </w:r>
      <w:r w:rsidR="00671DFF">
        <w:t xml:space="preserve">  </w:t>
      </w:r>
      <w:r>
        <w:t>These records shall be kept for the length of employment plus 30 years thereafter</w:t>
      </w:r>
      <w:r w:rsidR="00671DFF">
        <w:t xml:space="preserve"> and include the following:</w:t>
      </w:r>
    </w:p>
    <w:p w:rsidR="00671DFF" w:rsidRDefault="00671DFF" w:rsidP="00F15880">
      <w:pPr>
        <w:numPr>
          <w:ilvl w:val="0"/>
          <w:numId w:val="18"/>
        </w:numPr>
      </w:pPr>
      <w:r>
        <w:t>Social security number.</w:t>
      </w:r>
    </w:p>
    <w:p w:rsidR="00671DFF" w:rsidRDefault="00671DFF" w:rsidP="00F15880">
      <w:pPr>
        <w:numPr>
          <w:ilvl w:val="0"/>
          <w:numId w:val="18"/>
        </w:numPr>
      </w:pPr>
      <w:r>
        <w:t>Hepatitis B vaccine status, dates of vaccination, consent/refusal form.</w:t>
      </w:r>
    </w:p>
    <w:p w:rsidR="00820419" w:rsidRDefault="00671DFF" w:rsidP="00F15880">
      <w:pPr>
        <w:numPr>
          <w:ilvl w:val="0"/>
          <w:numId w:val="18"/>
        </w:numPr>
      </w:pPr>
      <w:r>
        <w:t>Exposure incident information, post-exposure follow-up information, and all other relevant records.</w:t>
      </w:r>
    </w:p>
    <w:p w:rsidR="0097745A" w:rsidRDefault="0097745A" w:rsidP="00F15880">
      <w:pPr>
        <w:numPr>
          <w:ilvl w:val="0"/>
          <w:numId w:val="5"/>
        </w:numPr>
      </w:pPr>
      <w:r>
        <w:t>Establish a sharps injury log to assist in monitoring injuries and developing plans to eliminate or reduce injury incidents.</w:t>
      </w:r>
    </w:p>
    <w:p w:rsidR="0097745A" w:rsidRDefault="0097745A" w:rsidP="00F15880">
      <w:pPr>
        <w:numPr>
          <w:ilvl w:val="0"/>
          <w:numId w:val="13"/>
        </w:numPr>
      </w:pPr>
      <w:r>
        <w:t>At the minimum, the sharps log should include:</w:t>
      </w:r>
    </w:p>
    <w:p w:rsidR="0097745A" w:rsidRDefault="0097745A" w:rsidP="00F15880">
      <w:pPr>
        <w:numPr>
          <w:ilvl w:val="0"/>
          <w:numId w:val="12"/>
        </w:numPr>
      </w:pPr>
      <w:r>
        <w:t>Date and time of exposure.</w:t>
      </w:r>
    </w:p>
    <w:p w:rsidR="0097745A" w:rsidRDefault="0097745A" w:rsidP="00F15880">
      <w:pPr>
        <w:numPr>
          <w:ilvl w:val="0"/>
          <w:numId w:val="12"/>
        </w:numPr>
      </w:pPr>
      <w:r>
        <w:t>Type and brand of sharp involved in the exposure.</w:t>
      </w:r>
    </w:p>
    <w:p w:rsidR="0097745A" w:rsidRDefault="0097745A" w:rsidP="00F15880">
      <w:pPr>
        <w:numPr>
          <w:ilvl w:val="0"/>
          <w:numId w:val="12"/>
        </w:numPr>
      </w:pPr>
      <w:r>
        <w:t>Description of the exposure.</w:t>
      </w:r>
    </w:p>
    <w:p w:rsidR="0097745A" w:rsidRDefault="0097745A" w:rsidP="00F15880">
      <w:pPr>
        <w:numPr>
          <w:ilvl w:val="0"/>
          <w:numId w:val="12"/>
        </w:numPr>
      </w:pPr>
      <w:r>
        <w:t>Job classification of the exposed employee.</w:t>
      </w:r>
    </w:p>
    <w:p w:rsidR="0097745A" w:rsidRDefault="0097745A" w:rsidP="00F15880">
      <w:pPr>
        <w:numPr>
          <w:ilvl w:val="0"/>
          <w:numId w:val="12"/>
        </w:numPr>
      </w:pPr>
      <w:r>
        <w:t>Department or work area where exposure occurred.</w:t>
      </w:r>
    </w:p>
    <w:p w:rsidR="0097745A" w:rsidRDefault="0097745A" w:rsidP="00F15880">
      <w:pPr>
        <w:numPr>
          <w:ilvl w:val="0"/>
          <w:numId w:val="12"/>
        </w:numPr>
      </w:pPr>
      <w:r>
        <w:t>Procedure which the exposed employee was performing at the time of the exposure.</w:t>
      </w:r>
    </w:p>
    <w:p w:rsidR="004C0087" w:rsidRDefault="0097745A" w:rsidP="00F15880">
      <w:pPr>
        <w:numPr>
          <w:ilvl w:val="0"/>
          <w:numId w:val="12"/>
        </w:numPr>
      </w:pPr>
      <w:r>
        <w:t>How the exposure occurred.</w:t>
      </w:r>
    </w:p>
    <w:p w:rsidR="00857B16" w:rsidRDefault="0097745A" w:rsidP="00F15880">
      <w:pPr>
        <w:numPr>
          <w:ilvl w:val="0"/>
          <w:numId w:val="12"/>
        </w:numPr>
      </w:pPr>
      <w:r>
        <w:t>Body part involved in the exposure.</w:t>
      </w:r>
    </w:p>
    <w:p w:rsidR="004C0087" w:rsidRDefault="004C0087" w:rsidP="00F15880">
      <w:pPr>
        <w:numPr>
          <w:ilvl w:val="0"/>
          <w:numId w:val="14"/>
        </w:numPr>
      </w:pPr>
      <w:r>
        <w:lastRenderedPageBreak/>
        <w:t xml:space="preserve">The sharps log should indicate if the sharp had engineered injury protection and when the injury occurred in relation to the </w:t>
      </w:r>
      <w:r w:rsidR="00D14095">
        <w:t xml:space="preserve">possible </w:t>
      </w:r>
      <w:r>
        <w:t>activation of the protective mechanism.</w:t>
      </w:r>
    </w:p>
    <w:p w:rsidR="004C0087" w:rsidRDefault="00D14095" w:rsidP="00F15880">
      <w:pPr>
        <w:numPr>
          <w:ilvl w:val="0"/>
          <w:numId w:val="14"/>
        </w:numPr>
      </w:pPr>
      <w:r>
        <w:t xml:space="preserve">If the sharp did not have engineered injury protection, </w:t>
      </w:r>
      <w:r w:rsidR="004C0087">
        <w:t>whether and how such a mechanism could have prevented the injury</w:t>
      </w:r>
      <w:r>
        <w:t>.</w:t>
      </w:r>
    </w:p>
    <w:p w:rsidR="004C0087" w:rsidRDefault="004C0087" w:rsidP="00F15880">
      <w:pPr>
        <w:numPr>
          <w:ilvl w:val="0"/>
          <w:numId w:val="14"/>
        </w:numPr>
      </w:pPr>
      <w:r>
        <w:t>An assessment if any other engineering, administrative or work practice could have prevented the injury</w:t>
      </w:r>
      <w:r w:rsidR="00D14095">
        <w:t>.</w:t>
      </w:r>
    </w:p>
    <w:p w:rsidR="00857B16" w:rsidRPr="00C37D6E" w:rsidRDefault="00F113F5" w:rsidP="00F15880">
      <w:pPr>
        <w:numPr>
          <w:ilvl w:val="0"/>
          <w:numId w:val="5"/>
        </w:numPr>
      </w:pPr>
      <w:bookmarkStart w:id="2" w:name="P177"/>
      <w:bookmarkEnd w:id="2"/>
      <w:r w:rsidRPr="00C37D6E">
        <w:t xml:space="preserve">A copy of the exposure control plan shall be </w:t>
      </w:r>
      <w:r w:rsidR="00C37D6E" w:rsidRPr="00C37D6E">
        <w:t xml:space="preserve">accessible to employees at </w:t>
      </w:r>
      <w:r w:rsidRPr="00C37D6E">
        <w:t>normal work hours.</w:t>
      </w:r>
    </w:p>
    <w:p w:rsidR="00054D57" w:rsidRDefault="00054D57" w:rsidP="00054D57">
      <w:pPr>
        <w:ind w:left="1140"/>
      </w:pPr>
    </w:p>
    <w:p w:rsidR="00054D57" w:rsidRPr="00F879F9" w:rsidRDefault="0021643B" w:rsidP="00F15880">
      <w:pPr>
        <w:pStyle w:val="DefaultText"/>
        <w:numPr>
          <w:ilvl w:val="0"/>
          <w:numId w:val="9"/>
        </w:numPr>
        <w:rPr>
          <w:szCs w:val="24"/>
        </w:rPr>
      </w:pPr>
      <w:r w:rsidRPr="00F879F9">
        <w:rPr>
          <w:szCs w:val="24"/>
          <w:u w:val="single"/>
        </w:rPr>
        <w:t xml:space="preserve">Education and </w:t>
      </w:r>
      <w:r w:rsidR="00054D57" w:rsidRPr="00F879F9">
        <w:rPr>
          <w:szCs w:val="24"/>
          <w:u w:val="single"/>
        </w:rPr>
        <w:t>Training</w:t>
      </w:r>
      <w:r w:rsidR="00054D57" w:rsidRPr="00F879F9">
        <w:rPr>
          <w:szCs w:val="24"/>
        </w:rPr>
        <w:t xml:space="preserve">: Develop, provide, and document </w:t>
      </w:r>
      <w:r w:rsidRPr="00F879F9">
        <w:rPr>
          <w:szCs w:val="24"/>
        </w:rPr>
        <w:t>education and training based on the type of BBP hazards and exposures in the workplace.</w:t>
      </w:r>
      <w:r w:rsidR="00054D57" w:rsidRPr="00F879F9">
        <w:rPr>
          <w:szCs w:val="24"/>
        </w:rPr>
        <w:t xml:space="preserve">  </w:t>
      </w:r>
      <w:r w:rsidR="00054D57" w:rsidRPr="00F879F9">
        <w:rPr>
          <w:color w:val="000000"/>
          <w:szCs w:val="24"/>
        </w:rPr>
        <w:t xml:space="preserve"> </w:t>
      </w:r>
    </w:p>
    <w:p w:rsidR="00820419" w:rsidRPr="00F879F9" w:rsidRDefault="0021643B" w:rsidP="00F15880">
      <w:pPr>
        <w:pStyle w:val="DefaultText"/>
        <w:numPr>
          <w:ilvl w:val="0"/>
          <w:numId w:val="6"/>
        </w:numPr>
        <w:rPr>
          <w:szCs w:val="24"/>
        </w:rPr>
      </w:pPr>
      <w:r w:rsidRPr="00F879F9">
        <w:rPr>
          <w:szCs w:val="24"/>
        </w:rPr>
        <w:t>Provide information to all employees during orientation that covers the following: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color w:val="000000"/>
          <w:szCs w:val="24"/>
          <w:bdr w:val="none" w:sz="0" w:space="0" w:color="auto" w:frame="1"/>
        </w:rPr>
        <w:t>The nature of transmission and prevention through universal precautions.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szCs w:val="24"/>
        </w:rPr>
        <w:t xml:space="preserve">The agency’s policy concerning </w:t>
      </w:r>
      <w:r w:rsidRPr="00F879F9">
        <w:rPr>
          <w:color w:val="000000"/>
          <w:szCs w:val="24"/>
          <w:bdr w:val="none" w:sz="0" w:space="0" w:color="auto" w:frame="1"/>
        </w:rPr>
        <w:t>bloodborne infections/diseases in the workplace.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szCs w:val="24"/>
        </w:rPr>
        <w:t>The hazards associated with BBP.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szCs w:val="24"/>
        </w:rPr>
        <w:t>The procedures for reporting an exposure.</w:t>
      </w:r>
    </w:p>
    <w:p w:rsidR="0021643B" w:rsidRPr="00F879F9" w:rsidRDefault="0021643B" w:rsidP="00F15880">
      <w:pPr>
        <w:pStyle w:val="DefaultText"/>
        <w:numPr>
          <w:ilvl w:val="0"/>
          <w:numId w:val="6"/>
        </w:numPr>
        <w:rPr>
          <w:szCs w:val="24"/>
        </w:rPr>
      </w:pPr>
      <w:r w:rsidRPr="00F879F9">
        <w:rPr>
          <w:szCs w:val="24"/>
        </w:rPr>
        <w:t xml:space="preserve">Provide training to all employees certified in first aid, CPR, or AEDs or given the responsibility for </w:t>
      </w:r>
      <w:r w:rsidR="00F879F9" w:rsidRPr="00F879F9">
        <w:rPr>
          <w:szCs w:val="24"/>
        </w:rPr>
        <w:t xml:space="preserve">blood or </w:t>
      </w:r>
      <w:r w:rsidRPr="00F879F9">
        <w:rPr>
          <w:szCs w:val="24"/>
        </w:rPr>
        <w:t>OPIM clean</w:t>
      </w:r>
      <w:r w:rsidR="00F879F9" w:rsidRPr="00F879F9">
        <w:rPr>
          <w:szCs w:val="24"/>
        </w:rPr>
        <w:t>-</w:t>
      </w:r>
      <w:r w:rsidRPr="00F879F9">
        <w:rPr>
          <w:szCs w:val="24"/>
        </w:rPr>
        <w:t>up.  The training must include the following: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color w:val="000000"/>
          <w:szCs w:val="24"/>
          <w:bdr w:val="none" w:sz="0" w:space="0" w:color="auto" w:frame="1"/>
        </w:rPr>
        <w:t>Training on the hazards</w:t>
      </w:r>
      <w:r w:rsidR="00F879F9" w:rsidRPr="00F879F9">
        <w:rPr>
          <w:color w:val="000000"/>
          <w:szCs w:val="24"/>
          <w:bdr w:val="none" w:sz="0" w:space="0" w:color="auto" w:frame="1"/>
        </w:rPr>
        <w:t xml:space="preserve"> and the use of </w:t>
      </w:r>
      <w:r w:rsidRPr="00F879F9">
        <w:rPr>
          <w:color w:val="000000"/>
          <w:szCs w:val="24"/>
          <w:bdr w:val="none" w:sz="0" w:space="0" w:color="auto" w:frame="1"/>
        </w:rPr>
        <w:t>universal precautions.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szCs w:val="24"/>
        </w:rPr>
        <w:t xml:space="preserve">The agency’s policy concerning </w:t>
      </w:r>
      <w:r w:rsidRPr="00F879F9">
        <w:rPr>
          <w:color w:val="000000"/>
          <w:szCs w:val="24"/>
          <w:bdr w:val="none" w:sz="0" w:space="0" w:color="auto" w:frame="1"/>
        </w:rPr>
        <w:t>bloodborne infections/diseases in the workplace.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szCs w:val="24"/>
        </w:rPr>
        <w:t xml:space="preserve">The </w:t>
      </w:r>
      <w:r w:rsidR="00F879F9" w:rsidRPr="00F879F9">
        <w:rPr>
          <w:szCs w:val="24"/>
        </w:rPr>
        <w:t>agencies exposure control plan.</w:t>
      </w:r>
    </w:p>
    <w:p w:rsidR="0021643B" w:rsidRPr="00F879F9" w:rsidRDefault="0021643B" w:rsidP="00F15880">
      <w:pPr>
        <w:pStyle w:val="DefaultText"/>
        <w:numPr>
          <w:ilvl w:val="1"/>
          <w:numId w:val="6"/>
        </w:numPr>
        <w:rPr>
          <w:szCs w:val="24"/>
        </w:rPr>
      </w:pPr>
      <w:r w:rsidRPr="00F879F9">
        <w:rPr>
          <w:szCs w:val="24"/>
        </w:rPr>
        <w:t>The procedures for reporting an exposure.</w:t>
      </w:r>
    </w:p>
    <w:p w:rsidR="00C20BA7" w:rsidRDefault="00F879F9" w:rsidP="00F15880">
      <w:pPr>
        <w:pStyle w:val="DefaultText"/>
        <w:numPr>
          <w:ilvl w:val="1"/>
          <w:numId w:val="6"/>
        </w:numPr>
      </w:pPr>
      <w:r w:rsidRPr="00F879F9">
        <w:t>The procedures, PPE, and equipment necessary for blood spill or OPIM clean-up.</w:t>
      </w:r>
    </w:p>
    <w:p w:rsidR="00C20BA7" w:rsidRPr="00F879F9" w:rsidRDefault="00C20BA7" w:rsidP="00F15880">
      <w:pPr>
        <w:pStyle w:val="DefaultText"/>
        <w:numPr>
          <w:ilvl w:val="1"/>
          <w:numId w:val="6"/>
        </w:numPr>
        <w:rPr>
          <w:szCs w:val="24"/>
        </w:rPr>
      </w:pPr>
      <w:r>
        <w:t>Benefits and availability of Hepatitis B vaccine.</w:t>
      </w:r>
    </w:p>
    <w:p w:rsidR="0021643B" w:rsidRPr="00F879F9" w:rsidRDefault="00F879F9" w:rsidP="00F15880">
      <w:pPr>
        <w:pStyle w:val="DefaultText"/>
        <w:numPr>
          <w:ilvl w:val="0"/>
          <w:numId w:val="6"/>
        </w:numPr>
        <w:rPr>
          <w:szCs w:val="24"/>
        </w:rPr>
      </w:pPr>
      <w:r>
        <w:t>Provide training and education to all employees with occupational exposures to blood or OPIM.</w:t>
      </w:r>
    </w:p>
    <w:p w:rsidR="00F879F9" w:rsidRPr="00F879F9" w:rsidRDefault="00F879F9" w:rsidP="00F15880">
      <w:pPr>
        <w:pStyle w:val="DefaultText"/>
        <w:numPr>
          <w:ilvl w:val="1"/>
          <w:numId w:val="6"/>
        </w:numPr>
        <w:rPr>
          <w:szCs w:val="24"/>
        </w:rPr>
      </w:pPr>
      <w:r>
        <w:t>The training must be provided at no cost and during working hours.</w:t>
      </w:r>
    </w:p>
    <w:p w:rsidR="00F879F9" w:rsidRPr="00F879F9" w:rsidRDefault="00F879F9" w:rsidP="00F15880">
      <w:pPr>
        <w:pStyle w:val="DefaultText"/>
        <w:numPr>
          <w:ilvl w:val="1"/>
          <w:numId w:val="6"/>
        </w:numPr>
        <w:rPr>
          <w:szCs w:val="24"/>
        </w:rPr>
      </w:pPr>
      <w:r>
        <w:t>The training must be provided at the time of initial assignment, at least annually thereafter, or when tasks, conditions, products, or equipment change.</w:t>
      </w:r>
    </w:p>
    <w:p w:rsidR="00F879F9" w:rsidRPr="00F879F9" w:rsidRDefault="00F879F9" w:rsidP="00F15880">
      <w:pPr>
        <w:pStyle w:val="DefaultText"/>
        <w:numPr>
          <w:ilvl w:val="1"/>
          <w:numId w:val="6"/>
        </w:numPr>
        <w:rPr>
          <w:szCs w:val="24"/>
        </w:rPr>
      </w:pPr>
      <w:r>
        <w:t>At the minimum, training and education shall include the following:</w:t>
      </w:r>
    </w:p>
    <w:p w:rsidR="00F879F9" w:rsidRDefault="00F879F9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A copy of the state guidelines.</w:t>
      </w:r>
    </w:p>
    <w:p w:rsidR="00F879F9" w:rsidRDefault="00F879F9" w:rsidP="00F15880">
      <w:pPr>
        <w:pStyle w:val="BodyTextIndent3"/>
        <w:numPr>
          <w:ilvl w:val="0"/>
          <w:numId w:val="19"/>
        </w:numPr>
      </w:pPr>
      <w:r>
        <w:t>The health effects of exposure to BBP’s.</w:t>
      </w:r>
    </w:p>
    <w:p w:rsidR="00F879F9" w:rsidRDefault="00F879F9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The details of the Exposure Control Plan.</w:t>
      </w:r>
    </w:p>
    <w:p w:rsidR="00C20BA7" w:rsidRDefault="00F879F9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Exposure prevention methods (i.e., engineering controls</w:t>
      </w:r>
      <w:r w:rsidR="005C62FE">
        <w:t xml:space="preserve">, </w:t>
      </w:r>
      <w:r>
        <w:t>safe work methods</w:t>
      </w:r>
      <w:r w:rsidR="005C62FE">
        <w:t>, and PPE</w:t>
      </w:r>
      <w:r>
        <w:t>).</w:t>
      </w:r>
    </w:p>
    <w:p w:rsidR="00C20BA7" w:rsidRDefault="00C20BA7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H</w:t>
      </w:r>
      <w:r w:rsidR="00F879F9">
        <w:t>ands-on training on use of needles and needleless systems</w:t>
      </w:r>
      <w:r>
        <w:t>.</w:t>
      </w:r>
    </w:p>
    <w:p w:rsidR="00C20BA7" w:rsidRDefault="00C20BA7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E</w:t>
      </w:r>
      <w:r w:rsidR="00F879F9">
        <w:t>xposure reporting procedures</w:t>
      </w:r>
      <w:r>
        <w:t>.</w:t>
      </w:r>
    </w:p>
    <w:p w:rsidR="00C20BA7" w:rsidRDefault="00C20BA7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P</w:t>
      </w:r>
      <w:r w:rsidR="00F879F9">
        <w:t>ost-exposure counseling and evaluation</w:t>
      </w:r>
      <w:r>
        <w:t>.</w:t>
      </w:r>
    </w:p>
    <w:p w:rsidR="00C20BA7" w:rsidRDefault="00C20BA7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B</w:t>
      </w:r>
      <w:r w:rsidR="00F879F9">
        <w:t>enefits and availability of Hepatitis B vaccine</w:t>
      </w:r>
      <w:r>
        <w:t>.</w:t>
      </w:r>
    </w:p>
    <w:p w:rsidR="00852AEC" w:rsidRPr="00F879F9" w:rsidRDefault="00C20BA7" w:rsidP="00F15880">
      <w:pPr>
        <w:pStyle w:val="BodyTextIndent3"/>
        <w:numPr>
          <w:ilvl w:val="0"/>
          <w:numId w:val="19"/>
        </w:numPr>
        <w:tabs>
          <w:tab w:val="num" w:pos="2160"/>
        </w:tabs>
      </w:pPr>
      <w:r>
        <w:t>Access to records (personal medical records, sharps injury log records, and training records).</w:t>
      </w:r>
    </w:p>
    <w:p w:rsidR="00C20BA7" w:rsidRDefault="00852AEC" w:rsidP="00F15880">
      <w:pPr>
        <w:pStyle w:val="DefaultTex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List names </w:t>
      </w:r>
      <w:r w:rsidR="00C20BA7">
        <w:rPr>
          <w:szCs w:val="24"/>
        </w:rPr>
        <w:t xml:space="preserve">or job titles of the individuals responsible to provide and monitor the training program.  </w:t>
      </w:r>
    </w:p>
    <w:p w:rsidR="00820419" w:rsidRPr="00820419" w:rsidRDefault="0021643B" w:rsidP="00F15880">
      <w:pPr>
        <w:pStyle w:val="DefaultText"/>
        <w:numPr>
          <w:ilvl w:val="0"/>
          <w:numId w:val="6"/>
        </w:numPr>
        <w:rPr>
          <w:szCs w:val="24"/>
        </w:rPr>
      </w:pPr>
      <w:r>
        <w:t xml:space="preserve">Training records must be </w:t>
      </w:r>
      <w:r w:rsidR="00C20BA7">
        <w:t xml:space="preserve">documented and </w:t>
      </w:r>
      <w:r>
        <w:t>maintained for each employee for at least 3 years.</w:t>
      </w:r>
    </w:p>
    <w:p w:rsidR="00820419" w:rsidRPr="00820419" w:rsidRDefault="00820419" w:rsidP="00820419">
      <w:pPr>
        <w:pStyle w:val="DefaultText"/>
        <w:ind w:left="540"/>
        <w:rPr>
          <w:szCs w:val="24"/>
        </w:rPr>
      </w:pPr>
    </w:p>
    <w:p w:rsidR="00AF06E8" w:rsidRPr="00150DC1" w:rsidRDefault="00AF06E8" w:rsidP="00F15880">
      <w:pPr>
        <w:pStyle w:val="DefaultText"/>
        <w:numPr>
          <w:ilvl w:val="0"/>
          <w:numId w:val="3"/>
        </w:numPr>
        <w:rPr>
          <w:szCs w:val="24"/>
        </w:rPr>
      </w:pPr>
      <w:r w:rsidRPr="00150DC1">
        <w:rPr>
          <w:szCs w:val="24"/>
          <w:u w:val="single"/>
        </w:rPr>
        <w:t>Checklists and Forms</w:t>
      </w:r>
      <w:r w:rsidRPr="00150DC1">
        <w:rPr>
          <w:szCs w:val="24"/>
        </w:rPr>
        <w:t>:  Develop the necessary forms to ensure compliance with the requirements of this standard operating procedure.  The forms may include, but are not limited to, the following:</w:t>
      </w:r>
    </w:p>
    <w:p w:rsidR="00D8158B" w:rsidRDefault="00D8158B" w:rsidP="00F15880">
      <w:pPr>
        <w:pStyle w:val="DefaultText"/>
        <w:numPr>
          <w:ilvl w:val="0"/>
          <w:numId w:val="10"/>
        </w:numPr>
      </w:pPr>
      <w:r>
        <w:t>Vaccination and declination form used for recording Hepatitis B Vaccination Program.</w:t>
      </w:r>
    </w:p>
    <w:p w:rsidR="00BB20DA" w:rsidRDefault="00BB20DA" w:rsidP="00F15880">
      <w:pPr>
        <w:pStyle w:val="DefaultText"/>
        <w:numPr>
          <w:ilvl w:val="0"/>
          <w:numId w:val="10"/>
        </w:numPr>
      </w:pPr>
      <w:r>
        <w:t>Sharp injury log.</w:t>
      </w:r>
    </w:p>
    <w:p w:rsidR="00AF06E8" w:rsidRPr="00150DC1" w:rsidRDefault="00AF06E8" w:rsidP="00AF06E8">
      <w:pPr>
        <w:pStyle w:val="DefaultText"/>
        <w:ind w:left="360"/>
        <w:rPr>
          <w:szCs w:val="24"/>
        </w:rPr>
      </w:pPr>
    </w:p>
    <w:p w:rsidR="00AF06E8" w:rsidRPr="00150DC1" w:rsidRDefault="00AF06E8" w:rsidP="00F15880">
      <w:pPr>
        <w:pStyle w:val="DefaultText"/>
        <w:numPr>
          <w:ilvl w:val="0"/>
          <w:numId w:val="3"/>
        </w:numPr>
        <w:rPr>
          <w:szCs w:val="24"/>
        </w:rPr>
      </w:pPr>
      <w:r w:rsidRPr="00150DC1">
        <w:rPr>
          <w:szCs w:val="24"/>
          <w:u w:val="single"/>
        </w:rPr>
        <w:lastRenderedPageBreak/>
        <w:t>Program Effectiveness Review and Response</w:t>
      </w:r>
      <w:r w:rsidRPr="00150DC1">
        <w:rPr>
          <w:szCs w:val="24"/>
        </w:rPr>
        <w:t>: The effectiveness of this program in preventing workplace hazards, injuries, and illnesses should be evaluated at least annually with appropriate actions taken to address any program deficiencies found.</w:t>
      </w:r>
    </w:p>
    <w:p w:rsidR="00AF06E8" w:rsidRPr="00150DC1" w:rsidRDefault="00AF06E8" w:rsidP="00F15880">
      <w:pPr>
        <w:pStyle w:val="DefaultText"/>
        <w:numPr>
          <w:ilvl w:val="0"/>
          <w:numId w:val="11"/>
        </w:numPr>
        <w:rPr>
          <w:szCs w:val="24"/>
        </w:rPr>
      </w:pPr>
      <w:r w:rsidRPr="00150DC1">
        <w:rPr>
          <w:szCs w:val="24"/>
        </w:rPr>
        <w:t>Document dates of review</w:t>
      </w:r>
      <w:r>
        <w:rPr>
          <w:szCs w:val="24"/>
        </w:rPr>
        <w:t>.</w:t>
      </w:r>
    </w:p>
    <w:p w:rsidR="00AF06E8" w:rsidRDefault="00AF06E8" w:rsidP="004A1535"/>
    <w:sectPr w:rsidR="00AF06E8" w:rsidSect="001A15D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9F"/>
    <w:multiLevelType w:val="hybridMultilevel"/>
    <w:tmpl w:val="7CAC3298"/>
    <w:lvl w:ilvl="0" w:tplc="579E9B16">
      <w:start w:val="1"/>
      <w:numFmt w:val="lowerLetter"/>
      <w:lvlText w:val="%1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1" w:tplc="2D42AA2A">
      <w:start w:val="1"/>
      <w:numFmt w:val="lowerLetter"/>
      <w:lvlText w:val="%2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2" w:tplc="A22CEF50">
      <w:start w:val="1"/>
      <w:numFmt w:val="lowerLetter"/>
      <w:lvlText w:val="%3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351BD"/>
    <w:multiLevelType w:val="hybridMultilevel"/>
    <w:tmpl w:val="78A85224"/>
    <w:lvl w:ilvl="0" w:tplc="A81A74E6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919165E"/>
    <w:multiLevelType w:val="hybridMultilevel"/>
    <w:tmpl w:val="CF905AB0"/>
    <w:lvl w:ilvl="0" w:tplc="F4784A08">
      <w:start w:val="2"/>
      <w:numFmt w:val="lowerLetter"/>
      <w:lvlText w:val="%1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1" w:tplc="8214C646">
      <w:start w:val="1"/>
      <w:numFmt w:val="lowerLetter"/>
      <w:lvlText w:val="%2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2" w:tplc="3F5C017E">
      <w:start w:val="1"/>
      <w:numFmt w:val="lowerLetter"/>
      <w:lvlText w:val="%3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3" w:tplc="CD2821B0">
      <w:start w:val="2"/>
      <w:numFmt w:val="lowerRoman"/>
      <w:lvlText w:val="%4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4AA"/>
    <w:multiLevelType w:val="hybridMultilevel"/>
    <w:tmpl w:val="B34C18C2"/>
    <w:lvl w:ilvl="0" w:tplc="600AF910">
      <w:start w:val="1"/>
      <w:numFmt w:val="lowerRoman"/>
      <w:lvlText w:val="%1."/>
      <w:lvlJc w:val="left"/>
      <w:pPr>
        <w:tabs>
          <w:tab w:val="num" w:pos="3096"/>
        </w:tabs>
        <w:ind w:left="3096" w:hanging="389"/>
      </w:pPr>
      <w:rPr>
        <w:rFonts w:hint="default"/>
      </w:rPr>
    </w:lvl>
    <w:lvl w:ilvl="1" w:tplc="0D2A69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42200"/>
    <w:multiLevelType w:val="hybridMultilevel"/>
    <w:tmpl w:val="B65C7F18"/>
    <w:lvl w:ilvl="0" w:tplc="8CB43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C1B71"/>
    <w:multiLevelType w:val="hybridMultilevel"/>
    <w:tmpl w:val="95229DA8"/>
    <w:lvl w:ilvl="0" w:tplc="111A5212">
      <w:start w:val="1"/>
      <w:numFmt w:val="upperRoman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0E5D"/>
    <w:multiLevelType w:val="hybridMultilevel"/>
    <w:tmpl w:val="6608964C"/>
    <w:lvl w:ilvl="0" w:tplc="5A9EC124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1527D"/>
    <w:multiLevelType w:val="hybridMultilevel"/>
    <w:tmpl w:val="1130E384"/>
    <w:lvl w:ilvl="0" w:tplc="20C22B1A">
      <w:start w:val="1"/>
      <w:numFmt w:val="lowerRoman"/>
      <w:lvlText w:val="%1."/>
      <w:lvlJc w:val="left"/>
      <w:pPr>
        <w:tabs>
          <w:tab w:val="num" w:pos="3096"/>
        </w:tabs>
        <w:ind w:left="3096" w:hanging="3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BE630A"/>
    <w:multiLevelType w:val="hybridMultilevel"/>
    <w:tmpl w:val="48D2266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991734A"/>
    <w:multiLevelType w:val="hybridMultilevel"/>
    <w:tmpl w:val="0B5AF8C2"/>
    <w:lvl w:ilvl="0" w:tplc="A5AAE98C">
      <w:start w:val="1"/>
      <w:numFmt w:val="lowerRoman"/>
      <w:lvlText w:val="%1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1" w:tplc="1B9EC3E0">
      <w:start w:val="3"/>
      <w:numFmt w:val="lowerLetter"/>
      <w:lvlText w:val="%2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4326B"/>
    <w:multiLevelType w:val="hybridMultilevel"/>
    <w:tmpl w:val="BA3047BA"/>
    <w:lvl w:ilvl="0" w:tplc="0888B67A">
      <w:start w:val="1"/>
      <w:numFmt w:val="lowerLetter"/>
      <w:lvlText w:val="%1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21C45"/>
    <w:multiLevelType w:val="hybridMultilevel"/>
    <w:tmpl w:val="61EE59B2"/>
    <w:lvl w:ilvl="0" w:tplc="AC18C422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7FCE8DB2">
      <w:start w:val="1"/>
      <w:numFmt w:val="lowerLetter"/>
      <w:lvlText w:val="%2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61C17EDA"/>
    <w:multiLevelType w:val="hybridMultilevel"/>
    <w:tmpl w:val="64A44794"/>
    <w:lvl w:ilvl="0" w:tplc="14AA134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615D2"/>
    <w:multiLevelType w:val="hybridMultilevel"/>
    <w:tmpl w:val="B0DC785C"/>
    <w:lvl w:ilvl="0" w:tplc="A5AAE98C">
      <w:start w:val="1"/>
      <w:numFmt w:val="lowerRoman"/>
      <w:lvlText w:val="%1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64EA7"/>
    <w:multiLevelType w:val="hybridMultilevel"/>
    <w:tmpl w:val="92D0E2EE"/>
    <w:lvl w:ilvl="0" w:tplc="E4FC4D2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92E8F"/>
    <w:multiLevelType w:val="hybridMultilevel"/>
    <w:tmpl w:val="01F6A69E"/>
    <w:lvl w:ilvl="0" w:tplc="E1A61B08">
      <w:start w:val="1"/>
      <w:numFmt w:val="lowerLetter"/>
      <w:lvlText w:val="%1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1" w:tplc="F40C15FE">
      <w:start w:val="1"/>
      <w:numFmt w:val="lowerLetter"/>
      <w:lvlText w:val="%2."/>
      <w:lvlJc w:val="right"/>
      <w:pPr>
        <w:tabs>
          <w:tab w:val="num" w:pos="2347"/>
        </w:tabs>
        <w:ind w:left="2347" w:hanging="18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416F26"/>
    <w:multiLevelType w:val="hybridMultilevel"/>
    <w:tmpl w:val="36244C0A"/>
    <w:lvl w:ilvl="0" w:tplc="379A9E06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30CBD4">
      <w:start w:val="1"/>
      <w:numFmt w:val="lowerLetter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FEAC9884">
      <w:start w:val="1"/>
      <w:numFmt w:val="lowerRoman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193B13"/>
    <w:multiLevelType w:val="hybridMultilevel"/>
    <w:tmpl w:val="AA6A18B6"/>
    <w:lvl w:ilvl="0" w:tplc="C06A1F86">
      <w:start w:val="1"/>
      <w:numFmt w:val="lowerLetter"/>
      <w:lvlText w:val="%1."/>
      <w:lvlJc w:val="right"/>
      <w:pPr>
        <w:tabs>
          <w:tab w:val="num" w:pos="2347"/>
        </w:tabs>
        <w:ind w:left="2347" w:hanging="187"/>
      </w:pPr>
      <w:rPr>
        <w:rFonts w:hint="default"/>
        <w:u w:val="none"/>
      </w:rPr>
    </w:lvl>
    <w:lvl w:ilvl="1" w:tplc="72F239D6">
      <w:start w:val="2"/>
      <w:numFmt w:val="decimal"/>
      <w:lvlText w:val="%2."/>
      <w:lvlJc w:val="left"/>
      <w:pPr>
        <w:tabs>
          <w:tab w:val="num" w:pos="1627"/>
        </w:tabs>
        <w:ind w:left="1627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85C96"/>
    <w:multiLevelType w:val="hybridMultilevel"/>
    <w:tmpl w:val="6464EF5E"/>
    <w:lvl w:ilvl="0" w:tplc="8CB43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83A"/>
    <w:rsid w:val="00054D57"/>
    <w:rsid w:val="000B3849"/>
    <w:rsid w:val="001243A0"/>
    <w:rsid w:val="00144C48"/>
    <w:rsid w:val="00190ACA"/>
    <w:rsid w:val="00196224"/>
    <w:rsid w:val="001A15D6"/>
    <w:rsid w:val="001F420D"/>
    <w:rsid w:val="00214B42"/>
    <w:rsid w:val="0021643B"/>
    <w:rsid w:val="00223620"/>
    <w:rsid w:val="002533D2"/>
    <w:rsid w:val="002D7C18"/>
    <w:rsid w:val="002E34AE"/>
    <w:rsid w:val="003558AF"/>
    <w:rsid w:val="003877F4"/>
    <w:rsid w:val="003A6DD3"/>
    <w:rsid w:val="003A6E8D"/>
    <w:rsid w:val="003C275F"/>
    <w:rsid w:val="003F37F2"/>
    <w:rsid w:val="003F6E7B"/>
    <w:rsid w:val="00422900"/>
    <w:rsid w:val="00431D56"/>
    <w:rsid w:val="00440394"/>
    <w:rsid w:val="004435C0"/>
    <w:rsid w:val="00467CA6"/>
    <w:rsid w:val="00487EDE"/>
    <w:rsid w:val="004A1535"/>
    <w:rsid w:val="004C0087"/>
    <w:rsid w:val="00506B3E"/>
    <w:rsid w:val="005276CA"/>
    <w:rsid w:val="0054783A"/>
    <w:rsid w:val="005C62FE"/>
    <w:rsid w:val="00661568"/>
    <w:rsid w:val="00671DFF"/>
    <w:rsid w:val="006830E1"/>
    <w:rsid w:val="00684A4E"/>
    <w:rsid w:val="00691F4D"/>
    <w:rsid w:val="006F52E7"/>
    <w:rsid w:val="0071311C"/>
    <w:rsid w:val="00715C8A"/>
    <w:rsid w:val="007228D5"/>
    <w:rsid w:val="00725355"/>
    <w:rsid w:val="00792022"/>
    <w:rsid w:val="00820419"/>
    <w:rsid w:val="00852AEC"/>
    <w:rsid w:val="00857B16"/>
    <w:rsid w:val="00866F01"/>
    <w:rsid w:val="008C518D"/>
    <w:rsid w:val="008E33EC"/>
    <w:rsid w:val="008E45C7"/>
    <w:rsid w:val="00912E90"/>
    <w:rsid w:val="0097745A"/>
    <w:rsid w:val="009D3D62"/>
    <w:rsid w:val="00A437BE"/>
    <w:rsid w:val="00AF06E8"/>
    <w:rsid w:val="00B46228"/>
    <w:rsid w:val="00B523E5"/>
    <w:rsid w:val="00BB20DA"/>
    <w:rsid w:val="00BF0A89"/>
    <w:rsid w:val="00C20BA7"/>
    <w:rsid w:val="00C37D6E"/>
    <w:rsid w:val="00C82AFA"/>
    <w:rsid w:val="00CA1DE6"/>
    <w:rsid w:val="00D14095"/>
    <w:rsid w:val="00D8158B"/>
    <w:rsid w:val="00DD345A"/>
    <w:rsid w:val="00E36D0C"/>
    <w:rsid w:val="00EB10B3"/>
    <w:rsid w:val="00EC66A7"/>
    <w:rsid w:val="00F113F5"/>
    <w:rsid w:val="00F15880"/>
    <w:rsid w:val="00F219CB"/>
    <w:rsid w:val="00F4447B"/>
    <w:rsid w:val="00F879F9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A"/>
    <w:rPr>
      <w:sz w:val="24"/>
      <w:szCs w:val="24"/>
    </w:rPr>
  </w:style>
  <w:style w:type="paragraph" w:styleId="Heading2">
    <w:name w:val="heading 2"/>
    <w:basedOn w:val="Normal"/>
    <w:next w:val="Normal"/>
    <w:qFormat/>
    <w:rsid w:val="004435C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691F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3A6E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3A6E8D"/>
  </w:style>
  <w:style w:type="character" w:customStyle="1" w:styleId="grame">
    <w:name w:val="grame"/>
    <w:basedOn w:val="DefaultParagraphFont"/>
    <w:rsid w:val="00912E90"/>
  </w:style>
  <w:style w:type="paragraph" w:styleId="BodyTextIndent3">
    <w:name w:val="Body Text Indent 3"/>
    <w:basedOn w:val="Normal"/>
    <w:rsid w:val="00F879F9"/>
    <w:pPr>
      <w:ind w:left="30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2FE95D-E1DE-46FE-B28F-4A0BECE801FC}"/>
</file>

<file path=customXml/itemProps2.xml><?xml version="1.0" encoding="utf-8"?>
<ds:datastoreItem xmlns:ds="http://schemas.openxmlformats.org/officeDocument/2006/customXml" ds:itemID="{4F1788F0-CCAC-4C9D-89D5-8EDEEA2859B3}"/>
</file>

<file path=customXml/itemProps3.xml><?xml version="1.0" encoding="utf-8"?>
<ds:datastoreItem xmlns:ds="http://schemas.openxmlformats.org/officeDocument/2006/customXml" ds:itemID="{C999D40C-5415-4D1E-A8A6-29F4A67A1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Office of Administration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jsucic</dc:creator>
  <cp:lastModifiedBy>degan</cp:lastModifiedBy>
  <cp:revision>2</cp:revision>
  <dcterms:created xsi:type="dcterms:W3CDTF">2015-02-26T20:27:00Z</dcterms:created>
  <dcterms:modified xsi:type="dcterms:W3CDTF">2015-02-26T20:27:00Z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