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bookmarkStart w:id="0" w:name="_GoBack"/>
      <w:bookmarkEnd w:id="0"/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48C0B82F" w:rsidR="00A669EA" w:rsidRPr="009C625C" w:rsidRDefault="0056175F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6B24F6">
            <w:rPr>
              <w:rFonts w:ascii="Verdana" w:hAnsi="Verdana" w:cs="Verdana"/>
              <w:b/>
              <w:sz w:val="20"/>
              <w:szCs w:val="20"/>
            </w:rPr>
            <w:t>ISSU</w:t>
          </w:r>
          <w:r w:rsidR="00BF1CFE">
            <w:rPr>
              <w:rFonts w:ascii="Verdana" w:hAnsi="Verdana" w:cs="Verdana"/>
              <w:b/>
              <w:sz w:val="20"/>
              <w:szCs w:val="20"/>
            </w:rPr>
            <w:t xml:space="preserve"> and PLC</w:t>
          </w:r>
          <w:r w:rsidR="000A1ECE">
            <w:rPr>
              <w:rFonts w:ascii="Verdana" w:hAnsi="Verdana" w:cs="Verdana"/>
              <w:b/>
              <w:sz w:val="20"/>
              <w:szCs w:val="20"/>
            </w:rPr>
            <w:t>B</w:t>
          </w:r>
          <w:r w:rsidR="00BF1CFE">
            <w:rPr>
              <w:rFonts w:ascii="Verdana" w:hAnsi="Verdana" w:cs="Verdana"/>
              <w:b/>
              <w:sz w:val="20"/>
              <w:szCs w:val="20"/>
            </w:rPr>
            <w:t xml:space="preserve"> Management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381E73">
        <w:rPr>
          <w:rFonts w:ascii="Verdana" w:hAnsi="Verdana" w:cs="Verdana"/>
          <w:b/>
          <w:sz w:val="20"/>
          <w:szCs w:val="20"/>
        </w:rPr>
        <w:t xml:space="preserve">(M2 &amp; M8) </w:t>
      </w:r>
      <w:r w:rsidR="0047548F">
        <w:rPr>
          <w:rFonts w:ascii="Verdana" w:hAnsi="Verdana" w:cs="Verdana"/>
          <w:b/>
          <w:sz w:val="20"/>
          <w:szCs w:val="20"/>
        </w:rPr>
        <w:t>(PLCB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699A2FFD" w:rsidR="00377242" w:rsidRPr="009C625C" w:rsidRDefault="0056175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6B24F6">
            <w:rPr>
              <w:rFonts w:ascii="Verdana" w:hAnsi="Verdana" w:cs="Verdana"/>
              <w:sz w:val="20"/>
              <w:szCs w:val="20"/>
            </w:rPr>
            <w:t>ISSU</w:t>
          </w:r>
          <w:r w:rsidR="00BF1CFE">
            <w:rPr>
              <w:rFonts w:ascii="Verdana" w:hAnsi="Verdana" w:cs="Verdana"/>
              <w:sz w:val="20"/>
              <w:szCs w:val="20"/>
            </w:rPr>
            <w:t xml:space="preserve"> and PLCB Management</w:t>
          </w:r>
          <w:r w:rsidR="0047548F">
            <w:rPr>
              <w:rFonts w:ascii="Verdana" w:hAnsi="Verdana" w:cs="Verdana"/>
              <w:sz w:val="20"/>
              <w:szCs w:val="20"/>
            </w:rPr>
            <w:t xml:space="preserve"> (PLCB Only)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0A296397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6B24F6">
        <w:rPr>
          <w:rFonts w:ascii="Verdana" w:hAnsi="Verdana" w:cs="Verdana"/>
          <w:sz w:val="20"/>
          <w:szCs w:val="20"/>
        </w:rPr>
        <w:t>ISSU</w:t>
      </w:r>
      <w:r w:rsidR="0047548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 w:rsidR="00BF1CFE">
        <w:rPr>
          <w:rFonts w:ascii="Verdana" w:hAnsi="Verdana" w:cs="Verdana"/>
          <w:sz w:val="20"/>
          <w:szCs w:val="20"/>
        </w:rPr>
        <w:t xml:space="preserve">These changes are also applicable to PLCB Management. 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296FE444" w14:textId="77777777" w:rsidR="009E5C70" w:rsidRDefault="009E5C70" w:rsidP="009E5C70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234E0B">
        <w:rPr>
          <w:rFonts w:ascii="Verdana" w:hAnsi="Verdana" w:cs="Verdana"/>
          <w:sz w:val="20"/>
          <w:szCs w:val="20"/>
          <w:u w:val="single"/>
        </w:rPr>
        <w:t xml:space="preserve">Sunday </w:t>
      </w:r>
      <w:r>
        <w:rPr>
          <w:rFonts w:ascii="Verdana" w:hAnsi="Verdana" w:cs="Verdana"/>
          <w:sz w:val="20"/>
          <w:szCs w:val="20"/>
          <w:u w:val="single"/>
        </w:rPr>
        <w:t>Premium</w:t>
      </w:r>
    </w:p>
    <w:p w14:paraId="4494D759" w14:textId="77777777" w:rsidR="009E5C70" w:rsidRDefault="009E5C70" w:rsidP="009E5C70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D165896" w14:textId="21BB9680" w:rsidR="009E5C70" w:rsidRDefault="009E5C70" w:rsidP="009E5C70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hired on or after October 11, 2016 are not entitled to the Sunday Premium for hours worked on a Sunday.  Employees will earn their regular rate of pay for all hours worked on Sunday.</w:t>
      </w:r>
    </w:p>
    <w:p w14:paraId="348964B2" w14:textId="77777777" w:rsidR="009E5C70" w:rsidRDefault="009E5C70" w:rsidP="009E5C70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028B8ECA" w14:textId="77777777" w:rsidR="00381E73" w:rsidRDefault="00381E73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28606E8B" w14:textId="0ECA50D4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2F625FB8" w14:textId="71E52937" w:rsidR="00AD495A" w:rsidRDefault="00AD495A" w:rsidP="00542963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47548F">
        <w:rPr>
          <w:rFonts w:ascii="Verdana" w:hAnsi="Verdana" w:cs="Verdana"/>
          <w:sz w:val="20"/>
          <w:szCs w:val="20"/>
          <w:u w:val="single"/>
        </w:rPr>
        <w:t>Annual Leave</w:t>
      </w:r>
      <w:r w:rsidRPr="0047548F">
        <w:rPr>
          <w:rFonts w:ascii="Verdana" w:hAnsi="Verdana" w:cs="Verdana"/>
          <w:sz w:val="20"/>
          <w:szCs w:val="20"/>
        </w:rPr>
        <w:t xml:space="preserve"> </w:t>
      </w:r>
    </w:p>
    <w:p w14:paraId="7F6B25E0" w14:textId="77777777" w:rsidR="0047548F" w:rsidRPr="0047548F" w:rsidRDefault="0047548F" w:rsidP="0047548F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BFEEB09" w14:textId="2017BF50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4A1314D0" w14:textId="35748CFE" w:rsidR="0047548F" w:rsidRDefault="0047548F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788"/>
      </w:tblGrid>
      <w:tr w:rsidR="0047548F" w14:paraId="1284F688" w14:textId="77777777" w:rsidTr="0047548F">
        <w:tc>
          <w:tcPr>
            <w:tcW w:w="1797" w:type="dxa"/>
            <w:shd w:val="clear" w:color="auto" w:fill="D9D9D9" w:themeFill="background1" w:themeFillShade="D9"/>
          </w:tcPr>
          <w:p w14:paraId="61764B0E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22A3573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8513CB0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055B16C3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47548F" w14:paraId="1F7B1369" w14:textId="77777777" w:rsidTr="0047548F">
        <w:tc>
          <w:tcPr>
            <w:tcW w:w="1797" w:type="dxa"/>
          </w:tcPr>
          <w:p w14:paraId="11F28205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795" w:type="dxa"/>
          </w:tcPr>
          <w:p w14:paraId="1F72BFA7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05" w:type="dxa"/>
          </w:tcPr>
          <w:p w14:paraId="102F283D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3.18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0BA6F7BF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47548F" w14:paraId="7A785209" w14:textId="77777777" w:rsidTr="0047548F">
        <w:tc>
          <w:tcPr>
            <w:tcW w:w="1797" w:type="dxa"/>
          </w:tcPr>
          <w:p w14:paraId="4FA45F63" w14:textId="77777777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795" w:type="dxa"/>
          </w:tcPr>
          <w:p w14:paraId="6FEC344D" w14:textId="428F4188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7.70%</w:t>
            </w:r>
          </w:p>
        </w:tc>
        <w:tc>
          <w:tcPr>
            <w:tcW w:w="1805" w:type="dxa"/>
          </w:tcPr>
          <w:p w14:paraId="539F57EC" w14:textId="5478016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5.78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7412D6B" w14:textId="2C9B46AF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 days</w:t>
            </w:r>
          </w:p>
        </w:tc>
      </w:tr>
      <w:tr w:rsidR="0047548F" w14:paraId="2916BB40" w14:textId="77777777" w:rsidTr="0047548F">
        <w:tc>
          <w:tcPr>
            <w:tcW w:w="1797" w:type="dxa"/>
          </w:tcPr>
          <w:p w14:paraId="74F0203F" w14:textId="1DF41B5F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795" w:type="dxa"/>
          </w:tcPr>
          <w:p w14:paraId="3B121031" w14:textId="346A7ED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9.62%</w:t>
            </w:r>
          </w:p>
        </w:tc>
        <w:tc>
          <w:tcPr>
            <w:tcW w:w="1805" w:type="dxa"/>
          </w:tcPr>
          <w:p w14:paraId="3F03F2A8" w14:textId="10FF2012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7.22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14:paraId="0B893083" w14:textId="146BBBF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 days</w:t>
            </w:r>
          </w:p>
        </w:tc>
      </w:tr>
      <w:tr w:rsidR="0047548F" w14:paraId="2160C2AD" w14:textId="77777777" w:rsidTr="0047548F">
        <w:tc>
          <w:tcPr>
            <w:tcW w:w="1797" w:type="dxa"/>
          </w:tcPr>
          <w:p w14:paraId="681A5FCA" w14:textId="77777777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795" w:type="dxa"/>
          </w:tcPr>
          <w:p w14:paraId="56D9A48B" w14:textId="1E8E0D44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11.93%</w:t>
            </w:r>
          </w:p>
        </w:tc>
        <w:tc>
          <w:tcPr>
            <w:tcW w:w="1805" w:type="dxa"/>
          </w:tcPr>
          <w:p w14:paraId="768A525E" w14:textId="40985D9A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8.95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662A500" w14:textId="021535B1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029A56BF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</w:t>
      </w:r>
      <w:r w:rsidR="00F249E0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</w:t>
      </w:r>
    </w:p>
    <w:p w14:paraId="2069BED3" w14:textId="264F663C" w:rsidR="00234E0B" w:rsidRDefault="00234E0B" w:rsidP="00AD495A">
      <w:pPr>
        <w:ind w:left="360"/>
        <w:rPr>
          <w:rFonts w:ascii="Verdana" w:hAnsi="Verdana" w:cs="Verdana"/>
          <w:sz w:val="20"/>
          <w:szCs w:val="20"/>
        </w:rPr>
      </w:pPr>
    </w:p>
    <w:p w14:paraId="1ED8C805" w14:textId="574437F3" w:rsidR="00234E0B" w:rsidRDefault="00234E0B" w:rsidP="00234E0B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234E0B">
        <w:rPr>
          <w:rFonts w:ascii="Verdana" w:hAnsi="Verdana" w:cs="Verdana"/>
          <w:sz w:val="20"/>
          <w:szCs w:val="20"/>
          <w:u w:val="single"/>
        </w:rPr>
        <w:t>Holidays</w:t>
      </w:r>
    </w:p>
    <w:p w14:paraId="6F234F73" w14:textId="6FFE4C89" w:rsidR="00234E0B" w:rsidRDefault="00234E0B" w:rsidP="00234E0B">
      <w:pPr>
        <w:rPr>
          <w:rFonts w:ascii="Verdana" w:hAnsi="Verdana" w:cs="Verdana"/>
          <w:sz w:val="20"/>
          <w:szCs w:val="20"/>
        </w:rPr>
      </w:pPr>
    </w:p>
    <w:p w14:paraId="09CB04F5" w14:textId="7B9E143E" w:rsidR="00234E0B" w:rsidRDefault="00234E0B" w:rsidP="00234E0B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President’s Day and Columbus Day are not recognized holidays for employees hired on or after October 11, 2016. </w:t>
      </w:r>
    </w:p>
    <w:p w14:paraId="7A7B76E5" w14:textId="60E79A28" w:rsidR="00234E0B" w:rsidRDefault="00234E0B" w:rsidP="00234E0B">
      <w:pPr>
        <w:ind w:left="360"/>
        <w:rPr>
          <w:rFonts w:ascii="Verdana" w:hAnsi="Verdana" w:cs="Verdana"/>
          <w:sz w:val="20"/>
          <w:szCs w:val="20"/>
        </w:rPr>
      </w:pPr>
    </w:p>
    <w:p w14:paraId="14F7B99D" w14:textId="72A27D04" w:rsidR="00D63EDA" w:rsidRDefault="00234E0B" w:rsidP="00234E0B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hired on or after October 11, 2016 who work on </w:t>
      </w:r>
      <w:r w:rsidR="00D63EDA">
        <w:rPr>
          <w:rFonts w:ascii="Verdana" w:hAnsi="Verdana" w:cs="Verdana"/>
          <w:sz w:val="20"/>
          <w:szCs w:val="20"/>
        </w:rPr>
        <w:t>Martin Luther King Jr.’s Birthday, Memorial Da</w:t>
      </w:r>
      <w:r w:rsidR="00110873">
        <w:rPr>
          <w:rFonts w:ascii="Verdana" w:hAnsi="Verdana" w:cs="Verdana"/>
          <w:sz w:val="20"/>
          <w:szCs w:val="20"/>
        </w:rPr>
        <w:t>y, Independence Day and Veteran</w:t>
      </w:r>
      <w:r w:rsidR="00D63EDA">
        <w:rPr>
          <w:rFonts w:ascii="Verdana" w:hAnsi="Verdana" w:cs="Verdana"/>
          <w:sz w:val="20"/>
          <w:szCs w:val="20"/>
        </w:rPr>
        <w:t xml:space="preserve">s Day will </w:t>
      </w:r>
      <w:r w:rsidR="00110873">
        <w:rPr>
          <w:rFonts w:ascii="Verdana" w:hAnsi="Verdana" w:cs="Verdana"/>
          <w:sz w:val="20"/>
          <w:szCs w:val="20"/>
        </w:rPr>
        <w:t xml:space="preserve">be paid at time and one-half but will </w:t>
      </w:r>
      <w:r w:rsidR="00D63EDA">
        <w:rPr>
          <w:rFonts w:ascii="Verdana" w:hAnsi="Verdana" w:cs="Verdana"/>
          <w:sz w:val="20"/>
          <w:szCs w:val="20"/>
        </w:rPr>
        <w:t xml:space="preserve">not earn </w:t>
      </w:r>
      <w:r w:rsidR="00FB5E45">
        <w:rPr>
          <w:rFonts w:ascii="Verdana" w:hAnsi="Verdana" w:cs="Verdana"/>
          <w:sz w:val="20"/>
          <w:szCs w:val="20"/>
        </w:rPr>
        <w:t>holiday/</w:t>
      </w:r>
      <w:r w:rsidR="00D63EDA">
        <w:rPr>
          <w:rFonts w:ascii="Verdana" w:hAnsi="Verdana" w:cs="Verdana"/>
          <w:sz w:val="20"/>
          <w:szCs w:val="20"/>
        </w:rPr>
        <w:t xml:space="preserve">compensatory leave for hours worked on these holidays. </w:t>
      </w:r>
      <w:r w:rsidR="003042BE">
        <w:rPr>
          <w:rFonts w:ascii="Verdana" w:hAnsi="Verdana" w:cs="Verdana"/>
          <w:sz w:val="20"/>
          <w:szCs w:val="20"/>
        </w:rPr>
        <w:t xml:space="preserve"> </w:t>
      </w:r>
    </w:p>
    <w:p w14:paraId="34FFD348" w14:textId="6CDBD2F1" w:rsidR="003042BE" w:rsidRDefault="003042BE" w:rsidP="003042BE">
      <w:pPr>
        <w:pStyle w:val="ListParagraph"/>
        <w:numPr>
          <w:ilvl w:val="0"/>
          <w:numId w:val="4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holiday quota will automatically be reduced </w:t>
      </w:r>
      <w:r w:rsidR="002E7C31">
        <w:rPr>
          <w:rFonts w:ascii="Verdana" w:hAnsi="Verdana" w:cs="Verdana"/>
          <w:sz w:val="20"/>
          <w:szCs w:val="20"/>
        </w:rPr>
        <w:t>if an</w:t>
      </w:r>
      <w:r>
        <w:rPr>
          <w:rFonts w:ascii="Verdana" w:hAnsi="Verdana" w:cs="Verdana"/>
          <w:sz w:val="20"/>
          <w:szCs w:val="20"/>
        </w:rPr>
        <w:t xml:space="preserve"> employee works on one of these holidays. </w:t>
      </w:r>
    </w:p>
    <w:p w14:paraId="6B2E29E8" w14:textId="43025D39" w:rsidR="00FC3E74" w:rsidRDefault="00FC3E74" w:rsidP="002E7C31">
      <w:pPr>
        <w:pStyle w:val="ListParagraph"/>
        <w:numPr>
          <w:ilvl w:val="1"/>
          <w:numId w:val="4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Code 94 error message generates on Time Evaluation Messages Display</w:t>
      </w:r>
      <w:r w:rsidR="00110873">
        <w:rPr>
          <w:rFonts w:ascii="Verdana" w:hAnsi="Verdana" w:cs="Verdana"/>
          <w:sz w:val="20"/>
          <w:szCs w:val="20"/>
        </w:rPr>
        <w:t xml:space="preserve"> to alert users that the holiday quota was reduced.</w:t>
      </w:r>
    </w:p>
    <w:p w14:paraId="6E2B3F44" w14:textId="14688DC1" w:rsidR="002E7C31" w:rsidRPr="003042BE" w:rsidRDefault="002E7C31" w:rsidP="002E7C31">
      <w:pPr>
        <w:pStyle w:val="ListParagraph"/>
        <w:numPr>
          <w:ilvl w:val="2"/>
          <w:numId w:val="4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RT hours on Holiday, Check Q25</w:t>
      </w:r>
    </w:p>
    <w:p w14:paraId="0E9B9BA4" w14:textId="77777777" w:rsidR="00D63EDA" w:rsidRDefault="00D63EDA" w:rsidP="00234E0B">
      <w:pPr>
        <w:ind w:left="360"/>
        <w:rPr>
          <w:rFonts w:ascii="Verdana" w:hAnsi="Verdana" w:cs="Verdana"/>
          <w:sz w:val="20"/>
          <w:szCs w:val="20"/>
        </w:rPr>
      </w:pPr>
    </w:p>
    <w:p w14:paraId="716C99BC" w14:textId="614C2A04" w:rsidR="0047548F" w:rsidRDefault="006B24F6" w:rsidP="006B24F6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6B24F6">
        <w:rPr>
          <w:rFonts w:ascii="Verdana" w:hAnsi="Verdana" w:cs="Verdana"/>
          <w:sz w:val="20"/>
          <w:szCs w:val="20"/>
          <w:u w:val="single"/>
        </w:rPr>
        <w:t>Additional Annual for No Sick Leave Usage</w:t>
      </w:r>
    </w:p>
    <w:p w14:paraId="41F4CE3E" w14:textId="346CD7B0" w:rsidR="006B24F6" w:rsidRDefault="006B24F6" w:rsidP="006B24F6">
      <w:pPr>
        <w:rPr>
          <w:rFonts w:ascii="Verdana" w:hAnsi="Verdana" w:cs="Verdana"/>
          <w:sz w:val="20"/>
          <w:szCs w:val="20"/>
        </w:rPr>
      </w:pPr>
    </w:p>
    <w:p w14:paraId="4E9B46B0" w14:textId="4614947D" w:rsidR="00E03DE7" w:rsidRDefault="004268F0" w:rsidP="004268F0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</w:t>
      </w:r>
      <w:r w:rsidR="00383A5F">
        <w:rPr>
          <w:rFonts w:ascii="Verdana" w:hAnsi="Verdana" w:cs="Verdana"/>
          <w:sz w:val="20"/>
          <w:szCs w:val="20"/>
        </w:rPr>
        <w:t>employees who use no sick leave i</w:t>
      </w:r>
      <w:r>
        <w:rPr>
          <w:rFonts w:ascii="Verdana" w:hAnsi="Verdana" w:cs="Verdana"/>
          <w:sz w:val="20"/>
          <w:szCs w:val="20"/>
        </w:rPr>
        <w:t xml:space="preserve">n </w:t>
      </w:r>
      <w:r w:rsidR="00383A5F">
        <w:rPr>
          <w:rFonts w:ascii="Verdana" w:hAnsi="Verdana" w:cs="Verdana"/>
          <w:sz w:val="20"/>
          <w:szCs w:val="20"/>
        </w:rPr>
        <w:t>an</w:t>
      </w:r>
      <w:r>
        <w:rPr>
          <w:rFonts w:ascii="Verdana" w:hAnsi="Verdana" w:cs="Verdana"/>
          <w:sz w:val="20"/>
          <w:szCs w:val="20"/>
        </w:rPr>
        <w:t xml:space="preserve"> entire leave calendar year will earn an additional day of annual leave.  </w:t>
      </w:r>
      <w:r w:rsidR="00383A5F">
        <w:rPr>
          <w:rFonts w:ascii="Verdana" w:hAnsi="Verdana" w:cs="Verdana"/>
          <w:sz w:val="20"/>
          <w:szCs w:val="20"/>
        </w:rPr>
        <w:t>Leave calendar year 2017 is the measurement year, and t</w:t>
      </w:r>
      <w:r>
        <w:rPr>
          <w:rFonts w:ascii="Verdana" w:hAnsi="Verdana" w:cs="Verdana"/>
          <w:sz w:val="20"/>
          <w:szCs w:val="20"/>
        </w:rPr>
        <w:t>he additional earnings will be available for use in the 2018 leave calendar year. The following absence types will count as sick leave usage:</w:t>
      </w:r>
    </w:p>
    <w:p w14:paraId="09A988AB" w14:textId="0CA16069" w:rsidR="004268F0" w:rsidRDefault="004268F0" w:rsidP="004268F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25FC6354" w14:textId="7850676B" w:rsidR="004268F0" w:rsidRDefault="004268F0" w:rsidP="004268F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FMLA/SPF sick leave</w:t>
      </w:r>
    </w:p>
    <w:p w14:paraId="3F9C67DC" w14:textId="1FAE4AFE" w:rsidR="004268F0" w:rsidRDefault="004268F0" w:rsidP="004268F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family</w:t>
      </w:r>
    </w:p>
    <w:p w14:paraId="7C7FBAA7" w14:textId="7570291E" w:rsidR="004268F0" w:rsidRDefault="004268F0" w:rsidP="004268F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FMLA/SPF reasons</w:t>
      </w:r>
    </w:p>
    <w:p w14:paraId="6AE651D1" w14:textId="7B19E571" w:rsidR="004268F0" w:rsidRDefault="004268F0" w:rsidP="004268F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 related injuries</w:t>
      </w:r>
    </w:p>
    <w:p w14:paraId="2B841B16" w14:textId="77777777" w:rsidR="004268F0" w:rsidRPr="004268F0" w:rsidRDefault="004268F0" w:rsidP="004268F0">
      <w:pPr>
        <w:pStyle w:val="ListParagraph"/>
        <w:ind w:left="0"/>
        <w:rPr>
          <w:rFonts w:ascii="Verdana" w:hAnsi="Verdana" w:cs="Verdana"/>
          <w:sz w:val="20"/>
          <w:szCs w:val="20"/>
        </w:rPr>
      </w:pPr>
    </w:p>
    <w:p w14:paraId="774003B2" w14:textId="26CE02C5" w:rsidR="00AD495A" w:rsidRDefault="004268F0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bereavement leave will not count as sick leave usage. </w:t>
      </w:r>
    </w:p>
    <w:p w14:paraId="484D0AB8" w14:textId="7B2D8242" w:rsidR="004268F0" w:rsidRDefault="004268F0" w:rsidP="00AD495A">
      <w:pPr>
        <w:ind w:left="360"/>
        <w:rPr>
          <w:rFonts w:ascii="Verdana" w:hAnsi="Verdana" w:cs="Verdana"/>
          <w:sz w:val="20"/>
          <w:szCs w:val="20"/>
        </w:rPr>
      </w:pPr>
    </w:p>
    <w:p w14:paraId="1BEB21B4" w14:textId="6A77B339" w:rsidR="004268F0" w:rsidRDefault="004268F0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annual leave. </w:t>
      </w:r>
    </w:p>
    <w:p w14:paraId="0D237331" w14:textId="036D8FCB" w:rsidR="004268F0" w:rsidRDefault="004268F0" w:rsidP="00AD495A">
      <w:pPr>
        <w:ind w:left="360"/>
        <w:rPr>
          <w:rFonts w:ascii="Verdana" w:hAnsi="Verdana" w:cs="Verdana"/>
          <w:sz w:val="20"/>
          <w:szCs w:val="20"/>
        </w:rPr>
      </w:pPr>
    </w:p>
    <w:p w14:paraId="1D321C1D" w14:textId="323B5A46" w:rsidR="004268F0" w:rsidRDefault="004268F0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</w:t>
      </w:r>
      <w:r>
        <w:rPr>
          <w:rFonts w:ascii="Verdana" w:hAnsi="Verdana" w:cs="Verdana"/>
          <w:sz w:val="20"/>
          <w:szCs w:val="20"/>
        </w:rPr>
        <w:br/>
      </w:r>
    </w:p>
    <w:p w14:paraId="2A030D64" w14:textId="0E387F27" w:rsidR="004268F0" w:rsidRDefault="004268F0" w:rsidP="004268F0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Add. Daily </w:t>
      </w:r>
      <w:proofErr w:type="spellStart"/>
      <w:r>
        <w:rPr>
          <w:rFonts w:ascii="Verdana" w:hAnsi="Verdana" w:cs="Verdana"/>
          <w:sz w:val="20"/>
          <w:szCs w:val="20"/>
        </w:rPr>
        <w:t>Hrs</w:t>
      </w:r>
      <w:proofErr w:type="spellEnd"/>
      <w:r>
        <w:rPr>
          <w:rFonts w:ascii="Verdana" w:hAnsi="Verdana" w:cs="Verdana"/>
          <w:sz w:val="20"/>
          <w:szCs w:val="20"/>
        </w:rPr>
        <w:t xml:space="preserve"> Holder</w:t>
      </w:r>
    </w:p>
    <w:p w14:paraId="2872BCF6" w14:textId="7B48E26A" w:rsidR="006869C5" w:rsidRDefault="006869C5" w:rsidP="004268F0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4AA6558" w14:textId="5019B820" w:rsidR="004268F0" w:rsidRDefault="004268F0" w:rsidP="004268F0">
      <w:pPr>
        <w:rPr>
          <w:rFonts w:ascii="Verdana" w:hAnsi="Verdana" w:cs="Verdana"/>
          <w:sz w:val="20"/>
          <w:szCs w:val="20"/>
        </w:rPr>
      </w:pPr>
    </w:p>
    <w:p w14:paraId="05B97AFF" w14:textId="3C845356" w:rsidR="004268F0" w:rsidRPr="004268F0" w:rsidRDefault="004268F0" w:rsidP="004268F0">
      <w:pPr>
        <w:ind w:left="4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Pam Andrews at </w:t>
      </w:r>
      <w:hyperlink r:id="rId8" w:history="1">
        <w:r w:rsidRPr="00BD06B3">
          <w:rPr>
            <w:rStyle w:val="Hyperlink"/>
            <w:rFonts w:ascii="Verdana" w:hAnsi="Verdana" w:cs="Verdana"/>
            <w:sz w:val="20"/>
            <w:szCs w:val="20"/>
          </w:rPr>
          <w:t>ra-oaleave@pa.gov</w:t>
        </w:r>
      </w:hyperlink>
      <w:r>
        <w:rPr>
          <w:rFonts w:ascii="Verdana" w:hAnsi="Verdana" w:cs="Verdana"/>
          <w:sz w:val="20"/>
          <w:szCs w:val="20"/>
        </w:rPr>
        <w:t xml:space="preserve"> or 717.787-9872.</w:t>
      </w:r>
    </w:p>
    <w:p w14:paraId="09FB1131" w14:textId="03637CC3" w:rsidR="00DC59B1" w:rsidRDefault="003042BE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</w:p>
    <w:p w14:paraId="1AB5F2EC" w14:textId="7B711351" w:rsidR="007E7D34" w:rsidRDefault="007E7D34" w:rsidP="00E56507">
      <w:pPr>
        <w:rPr>
          <w:rFonts w:ascii="Verdana" w:hAnsi="Verdana" w:cs="Verdana"/>
          <w:sz w:val="20"/>
          <w:szCs w:val="20"/>
        </w:rPr>
      </w:pPr>
    </w:p>
    <w:p w14:paraId="3BFF127F" w14:textId="77777777" w:rsidR="007E7D34" w:rsidRDefault="007E7D34" w:rsidP="00E56507">
      <w:pPr>
        <w:rPr>
          <w:rFonts w:ascii="Verdana" w:hAnsi="Verdana" w:cs="Verdana"/>
          <w:sz w:val="20"/>
          <w:szCs w:val="20"/>
        </w:rPr>
      </w:pP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14:paraId="4D2A3C65" w14:textId="7777777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150C770E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6175F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64F3B3CF" w:rsidR="00E37F42" w:rsidRPr="009C625C" w:rsidRDefault="0056175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>
          <w:rPr>
            <w:rFonts w:ascii="Verdana" w:hAnsi="Verdana" w:cs="Arial"/>
            <w:b/>
            <w:bCs/>
            <w:sz w:val="28"/>
            <w:szCs w:val="28"/>
          </w:rPr>
          <w:t>15</w:t>
        </w:r>
      </w:sdtContent>
    </w:sdt>
  </w:p>
  <w:p w14:paraId="57C1C8E0" w14:textId="2E38865A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56175F">
      <w:rPr>
        <w:rFonts w:ascii="Verdana" w:hAnsi="Verdana" w:cs="Arial"/>
        <w:sz w:val="20"/>
        <w:szCs w:val="20"/>
      </w:rPr>
      <w:t>06.21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B27C7A"/>
    <w:multiLevelType w:val="hybridMultilevel"/>
    <w:tmpl w:val="6184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3C97"/>
    <w:multiLevelType w:val="hybridMultilevel"/>
    <w:tmpl w:val="48347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766793C"/>
    <w:multiLevelType w:val="hybridMultilevel"/>
    <w:tmpl w:val="AF40B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1C08FE"/>
    <w:multiLevelType w:val="hybridMultilevel"/>
    <w:tmpl w:val="4AB8C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37"/>
  </w:num>
  <w:num w:numId="5">
    <w:abstractNumId w:val="40"/>
  </w:num>
  <w:num w:numId="6">
    <w:abstractNumId w:val="34"/>
  </w:num>
  <w:num w:numId="7">
    <w:abstractNumId w:val="18"/>
  </w:num>
  <w:num w:numId="8">
    <w:abstractNumId w:val="38"/>
  </w:num>
  <w:num w:numId="9">
    <w:abstractNumId w:val="9"/>
  </w:num>
  <w:num w:numId="10">
    <w:abstractNumId w:val="28"/>
  </w:num>
  <w:num w:numId="11">
    <w:abstractNumId w:val="17"/>
  </w:num>
  <w:num w:numId="12">
    <w:abstractNumId w:val="4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31"/>
  </w:num>
  <w:num w:numId="19">
    <w:abstractNumId w:val="43"/>
  </w:num>
  <w:num w:numId="20">
    <w:abstractNumId w:val="1"/>
  </w:num>
  <w:num w:numId="21">
    <w:abstractNumId w:val="5"/>
  </w:num>
  <w:num w:numId="22">
    <w:abstractNumId w:val="26"/>
  </w:num>
  <w:num w:numId="23">
    <w:abstractNumId w:val="3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21"/>
  </w:num>
  <w:num w:numId="28">
    <w:abstractNumId w:val="15"/>
  </w:num>
  <w:num w:numId="29">
    <w:abstractNumId w:val="24"/>
  </w:num>
  <w:num w:numId="30">
    <w:abstractNumId w:val="30"/>
  </w:num>
  <w:num w:numId="31">
    <w:abstractNumId w:val="41"/>
  </w:num>
  <w:num w:numId="32">
    <w:abstractNumId w:val="7"/>
  </w:num>
  <w:num w:numId="33">
    <w:abstractNumId w:val="22"/>
  </w:num>
  <w:num w:numId="34">
    <w:abstractNumId w:val="6"/>
  </w:num>
  <w:num w:numId="35">
    <w:abstractNumId w:val="8"/>
  </w:num>
  <w:num w:numId="36">
    <w:abstractNumId w:val="39"/>
  </w:num>
  <w:num w:numId="37">
    <w:abstractNumId w:val="4"/>
  </w:num>
  <w:num w:numId="38">
    <w:abstractNumId w:val="35"/>
  </w:num>
  <w:num w:numId="39">
    <w:abstractNumId w:val="44"/>
  </w:num>
  <w:num w:numId="40">
    <w:abstractNumId w:val="20"/>
  </w:num>
  <w:num w:numId="41">
    <w:abstractNumId w:val="23"/>
  </w:num>
  <w:num w:numId="42">
    <w:abstractNumId w:val="14"/>
  </w:num>
  <w:num w:numId="43">
    <w:abstractNumId w:val="36"/>
  </w:num>
  <w:num w:numId="44">
    <w:abstractNumId w:val="2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1ECE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0873"/>
    <w:rsid w:val="0011336B"/>
    <w:rsid w:val="00114CE1"/>
    <w:rsid w:val="00123562"/>
    <w:rsid w:val="00135131"/>
    <w:rsid w:val="00142029"/>
    <w:rsid w:val="00153A1B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E67B9"/>
    <w:rsid w:val="001F3743"/>
    <w:rsid w:val="001F3FDF"/>
    <w:rsid w:val="001F5547"/>
    <w:rsid w:val="001F69AA"/>
    <w:rsid w:val="00204AB0"/>
    <w:rsid w:val="00223BA4"/>
    <w:rsid w:val="00231E37"/>
    <w:rsid w:val="0023295F"/>
    <w:rsid w:val="00234E0B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82F7E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C31"/>
    <w:rsid w:val="002E7E5C"/>
    <w:rsid w:val="002F0C17"/>
    <w:rsid w:val="00303D42"/>
    <w:rsid w:val="00303DED"/>
    <w:rsid w:val="003042BE"/>
    <w:rsid w:val="00307692"/>
    <w:rsid w:val="003164AD"/>
    <w:rsid w:val="00320821"/>
    <w:rsid w:val="00363D4A"/>
    <w:rsid w:val="00363E80"/>
    <w:rsid w:val="00377242"/>
    <w:rsid w:val="00380B94"/>
    <w:rsid w:val="00381E73"/>
    <w:rsid w:val="00383A5F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268F0"/>
    <w:rsid w:val="00431645"/>
    <w:rsid w:val="00431C2B"/>
    <w:rsid w:val="00464787"/>
    <w:rsid w:val="00472D0E"/>
    <w:rsid w:val="00473681"/>
    <w:rsid w:val="0047548F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75F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869C5"/>
    <w:rsid w:val="00692502"/>
    <w:rsid w:val="006A226E"/>
    <w:rsid w:val="006B24F6"/>
    <w:rsid w:val="006B56B9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E7D34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16546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E5C70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1CFE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4407"/>
    <w:rsid w:val="00C977C2"/>
    <w:rsid w:val="00CC022A"/>
    <w:rsid w:val="00CD62C7"/>
    <w:rsid w:val="00CD6CB5"/>
    <w:rsid w:val="00CF44B8"/>
    <w:rsid w:val="00D0477B"/>
    <w:rsid w:val="00D16C5E"/>
    <w:rsid w:val="00D2172A"/>
    <w:rsid w:val="00D31F60"/>
    <w:rsid w:val="00D32413"/>
    <w:rsid w:val="00D37D66"/>
    <w:rsid w:val="00D43BAB"/>
    <w:rsid w:val="00D52F2E"/>
    <w:rsid w:val="00D63EDA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03DE7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249E0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B5E45"/>
    <w:rsid w:val="00FC3E74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268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leave@p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B5837D-6371-4C19-8CCF-7045A515594A}"/>
</file>

<file path=customXml/itemProps2.xml><?xml version="1.0" encoding="utf-8"?>
<ds:datastoreItem xmlns:ds="http://schemas.openxmlformats.org/officeDocument/2006/customXml" ds:itemID="{337837A9-B065-4D41-932E-52A21797BAB8}"/>
</file>

<file path=customXml/itemProps3.xml><?xml version="1.0" encoding="utf-8"?>
<ds:datastoreItem xmlns:ds="http://schemas.openxmlformats.org/officeDocument/2006/customXml" ds:itemID="{F748C606-F9B5-401E-A4A7-ACB20A221DF1}"/>
</file>

<file path=customXml/itemProps4.xml><?xml version="1.0" encoding="utf-8"?>
<ds:datastoreItem xmlns:ds="http://schemas.openxmlformats.org/officeDocument/2006/customXml" ds:itemID="{FF46E709-34A6-432A-819E-1E1FC2241A7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112</TotalTime>
  <Pages>2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ISSU and PLCB Management</vt:lpstr>
    </vt:vector>
  </TitlesOfParts>
  <Company>Office of Administration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ISSU and PLCB Management</dc:title>
  <dc:subject>Information regarding updates to SAP to reflect 7/1/2016 through 6/30/2019 time contract changes for ISSU and PLCB Management (PLCB Only)</dc:subject>
  <dc:creator>lcohrac</dc:creator>
  <cp:keywords>Description, Keywords, Operations, Personnel Administration</cp:keywords>
  <dc:description/>
  <cp:lastModifiedBy>Carroll, Theresa (OA)</cp:lastModifiedBy>
  <cp:revision>11</cp:revision>
  <cp:lastPrinted>2017-06-19T18:52:00Z</cp:lastPrinted>
  <dcterms:created xsi:type="dcterms:W3CDTF">2017-06-12T15:30:00Z</dcterms:created>
  <dcterms:modified xsi:type="dcterms:W3CDTF">2017-06-20T17:48:00Z</dcterms:modified>
  <cp:category>Time Alert</cp:category>
  <cp:contentStatus>2017-15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