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w:t>
      </w:r>
      <w:bookmarkStart w:id="0" w:name="_GoBack"/>
      <w:bookmarkEnd w:id="0"/>
      <w:r w:rsidRPr="00B5094A">
        <w:rPr>
          <w:rFonts w:ascii="Verdana" w:hAnsi="Verdana" w:cs="Verdana"/>
          <w:b/>
          <w:bCs/>
          <w:i/>
          <w:iCs/>
          <w:sz w:val="20"/>
          <w:szCs w:val="20"/>
        </w:rPr>
        <w:t xml:space="preserve">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5462E8B6" w:rsidR="00A669EA" w:rsidRPr="009C625C" w:rsidRDefault="00E23606"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D93279">
            <w:rPr>
              <w:rFonts w:ascii="Verdana" w:hAnsi="Verdana" w:cs="Verdana"/>
              <w:b/>
              <w:sz w:val="20"/>
              <w:szCs w:val="20"/>
            </w:rPr>
            <w:t>5</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D6292D">
            <w:rPr>
              <w:rFonts w:ascii="Verdana" w:hAnsi="Verdana" w:cs="Verdana"/>
              <w:b/>
              <w:sz w:val="20"/>
              <w:szCs w:val="20"/>
            </w:rPr>
            <w:t>Fraternal Order of Police, Lodge 85</w:t>
          </w:r>
          <w:r w:rsidR="00D93279">
            <w:rPr>
              <w:rFonts w:ascii="Verdana" w:hAnsi="Verdana" w:cs="Verdana"/>
              <w:b/>
              <w:sz w:val="20"/>
              <w:szCs w:val="20"/>
            </w:rPr>
            <w:t xml:space="preserve"> (BU </w:t>
          </w:r>
          <w:r w:rsidR="00D6292D">
            <w:rPr>
              <w:rFonts w:ascii="Verdana" w:hAnsi="Verdana" w:cs="Verdana"/>
              <w:b/>
              <w:sz w:val="20"/>
              <w:szCs w:val="20"/>
            </w:rPr>
            <w:t>L4</w:t>
          </w:r>
          <w:r w:rsidR="00D93279">
            <w:rPr>
              <w:rFonts w:ascii="Verdana" w:hAnsi="Verdana" w:cs="Verdana"/>
              <w:b/>
              <w:sz w:val="20"/>
              <w:szCs w:val="20"/>
            </w:rPr>
            <w:t>) – (</w:t>
          </w:r>
          <w:r w:rsidR="00D6292D">
            <w:rPr>
              <w:rFonts w:ascii="Verdana" w:hAnsi="Verdana" w:cs="Verdana"/>
              <w:b/>
              <w:sz w:val="20"/>
              <w:szCs w:val="20"/>
            </w:rPr>
            <w:t>DGS</w:t>
          </w:r>
          <w:r w:rsidR="00D93279">
            <w:rPr>
              <w:rFonts w:ascii="Verdana" w:hAnsi="Verdana" w:cs="Verdana"/>
              <w:b/>
              <w:sz w:val="20"/>
              <w:szCs w:val="20"/>
            </w:rPr>
            <w:t xml:space="preserve"> Only)</w:t>
          </w:r>
        </w:sdtContent>
      </w:sdt>
      <w:r w:rsidR="00377242" w:rsidRPr="009C625C">
        <w:rPr>
          <w:rFonts w:ascii="Verdana" w:hAnsi="Verdana" w:cs="Verdana"/>
          <w:b/>
          <w:sz w:val="20"/>
          <w:szCs w:val="20"/>
        </w:rPr>
        <w:t> </w:t>
      </w:r>
    </w:p>
    <w:p w14:paraId="11F696E3" w14:textId="77777777" w:rsidR="00685856" w:rsidRPr="009C625C" w:rsidRDefault="00685856" w:rsidP="00C13502">
      <w:pPr>
        <w:rPr>
          <w:rFonts w:ascii="Verdana" w:hAnsi="Verdana" w:cs="Verdana"/>
          <w:b/>
          <w:sz w:val="20"/>
          <w:szCs w:val="20"/>
        </w:rPr>
      </w:pPr>
    </w:p>
    <w:p w14:paraId="3C074C58" w14:textId="3CCA7313" w:rsidR="00377242" w:rsidRPr="009C625C" w:rsidRDefault="00E23606"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D93279">
            <w:rPr>
              <w:rFonts w:ascii="Verdana" w:hAnsi="Verdana" w:cs="Verdana"/>
              <w:sz w:val="20"/>
              <w:szCs w:val="20"/>
            </w:rPr>
            <w:t>5</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D6292D">
            <w:rPr>
              <w:rFonts w:ascii="Verdana" w:hAnsi="Verdana" w:cs="Verdana"/>
              <w:sz w:val="20"/>
              <w:szCs w:val="20"/>
            </w:rPr>
            <w:t>Fraternal Order of Police, Lodge 85 (</w:t>
          </w:r>
          <w:r w:rsidR="001573D7">
            <w:rPr>
              <w:rFonts w:ascii="Verdana" w:hAnsi="Verdana" w:cs="Verdana"/>
              <w:sz w:val="20"/>
              <w:szCs w:val="20"/>
            </w:rPr>
            <w:t>DGS Only</w:t>
          </w:r>
          <w:r w:rsidR="00D6292D">
            <w:rPr>
              <w:rFonts w:ascii="Verdana" w:hAnsi="Verdana" w:cs="Verdana"/>
              <w:sz w:val="20"/>
              <w:szCs w:val="20"/>
            </w:rPr>
            <w:t>)</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1C09992C"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D6292D">
        <w:rPr>
          <w:rFonts w:ascii="Verdana" w:hAnsi="Verdana" w:cs="Verdana"/>
          <w:sz w:val="20"/>
          <w:szCs w:val="20"/>
        </w:rPr>
        <w:t>Fraternal Order of Police, Lodge 85 (Capitol Police)</w:t>
      </w:r>
      <w:r>
        <w:rPr>
          <w:rFonts w:ascii="Verdana" w:hAnsi="Verdana" w:cs="Verdana"/>
          <w:sz w:val="20"/>
          <w:szCs w:val="20"/>
        </w:rPr>
        <w:t xml:space="preserve"> for the contract period of 7/1/201</w:t>
      </w:r>
      <w:r w:rsidR="00D93279">
        <w:rPr>
          <w:rFonts w:ascii="Verdana" w:hAnsi="Verdana" w:cs="Verdana"/>
          <w:sz w:val="20"/>
          <w:szCs w:val="20"/>
        </w:rPr>
        <w:t>5</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1566DAC9" w14:textId="77777777" w:rsidR="00561F04" w:rsidRDefault="00561F04"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6E500628" w:rsidR="00AD495A" w:rsidRDefault="00AD495A" w:rsidP="00AD495A">
      <w:pPr>
        <w:pStyle w:val="ListParagraph"/>
        <w:ind w:left="360"/>
        <w:rPr>
          <w:rFonts w:ascii="Verdana" w:hAnsi="Verdana" w:cs="Verdana"/>
          <w:sz w:val="20"/>
          <w:szCs w:val="20"/>
        </w:rPr>
      </w:pPr>
      <w:r>
        <w:rPr>
          <w:rFonts w:ascii="Verdana" w:hAnsi="Verdana" w:cs="Verdana"/>
          <w:sz w:val="20"/>
          <w:szCs w:val="20"/>
        </w:rPr>
        <w:t xml:space="preserve">Effective at the beginning of the 2017 leave calendar year, personal quota </w:t>
      </w:r>
      <w:r w:rsidR="0084608D">
        <w:rPr>
          <w:rFonts w:ascii="Verdana" w:hAnsi="Verdana" w:cs="Verdana"/>
          <w:sz w:val="20"/>
          <w:szCs w:val="20"/>
        </w:rPr>
        <w:t xml:space="preserve">was </w:t>
      </w:r>
      <w:r>
        <w:rPr>
          <w:rFonts w:ascii="Verdana" w:hAnsi="Verdana" w:cs="Verdana"/>
          <w:sz w:val="20"/>
          <w:szCs w:val="20"/>
        </w:rPr>
        <w:t xml:space="preserve">combined with annual quota, and </w:t>
      </w:r>
      <w:r w:rsidR="00F74148">
        <w:rPr>
          <w:rFonts w:ascii="Verdana" w:hAnsi="Verdana" w:cs="Verdana"/>
          <w:sz w:val="20"/>
          <w:szCs w:val="20"/>
        </w:rPr>
        <w:t>officers</w:t>
      </w:r>
      <w:r>
        <w:rPr>
          <w:rFonts w:ascii="Verdana" w:hAnsi="Verdana" w:cs="Verdana"/>
          <w:sz w:val="20"/>
          <w:szCs w:val="20"/>
        </w:rPr>
        <w:t xml:space="preserve">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7777777" w:rsidR="00AD495A" w:rsidRDefault="00AD495A" w:rsidP="00AD495A">
      <w:pPr>
        <w:pStyle w:val="ListParagraph"/>
        <w:ind w:left="360"/>
        <w:rPr>
          <w:rFonts w:ascii="Verdana" w:hAnsi="Verdana" w:cs="Verdana"/>
          <w:sz w:val="20"/>
          <w:szCs w:val="20"/>
        </w:rPr>
      </w:pPr>
      <w:r>
        <w:rPr>
          <w:rFonts w:ascii="Verdana" w:hAnsi="Verdana" w:cs="Verdana"/>
          <w:sz w:val="20"/>
          <w:szCs w:val="20"/>
        </w:rPr>
        <w:t xml:space="preserve">Any unused personal quota from leave calendar year 2016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6DE64915" w:rsidR="00AD495A" w:rsidRDefault="00AD495A" w:rsidP="00AD495A">
      <w:pPr>
        <w:ind w:left="360"/>
        <w:rPr>
          <w:rFonts w:ascii="Verdana" w:hAnsi="Verdana" w:cs="Verdana"/>
          <w:sz w:val="20"/>
          <w:szCs w:val="20"/>
        </w:rPr>
      </w:pPr>
      <w:r>
        <w:rPr>
          <w:rFonts w:ascii="Verdana" w:hAnsi="Verdana" w:cs="Verdana"/>
          <w:sz w:val="20"/>
          <w:szCs w:val="20"/>
        </w:rPr>
        <w:t>Effective at the beginning of the 2017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812"/>
        <w:gridCol w:w="1810"/>
        <w:gridCol w:w="1819"/>
        <w:gridCol w:w="1805"/>
      </w:tblGrid>
      <w:tr w:rsidR="00177833" w14:paraId="1284F688" w14:textId="77777777" w:rsidTr="00177833">
        <w:tc>
          <w:tcPr>
            <w:tcW w:w="1812" w:type="dxa"/>
            <w:shd w:val="clear" w:color="auto" w:fill="D9D9D9" w:themeFill="background1" w:themeFillShade="D9"/>
          </w:tcPr>
          <w:p w14:paraId="61764B0E" w14:textId="77777777" w:rsidR="00177833" w:rsidRPr="00A6573B" w:rsidRDefault="00177833"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810" w:type="dxa"/>
            <w:shd w:val="clear" w:color="auto" w:fill="D9D9D9" w:themeFill="background1" w:themeFillShade="D9"/>
          </w:tcPr>
          <w:p w14:paraId="122A3573"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19" w:type="dxa"/>
            <w:shd w:val="clear" w:color="auto" w:fill="D9D9D9" w:themeFill="background1" w:themeFillShade="D9"/>
          </w:tcPr>
          <w:p w14:paraId="5F9229D1"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80 Hour Employee</w:t>
            </w:r>
          </w:p>
        </w:tc>
        <w:tc>
          <w:tcPr>
            <w:tcW w:w="1805" w:type="dxa"/>
            <w:shd w:val="clear" w:color="auto" w:fill="D9D9D9" w:themeFill="background1" w:themeFillShade="D9"/>
          </w:tcPr>
          <w:p w14:paraId="055B16C3"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Number of Days</w:t>
            </w:r>
          </w:p>
        </w:tc>
      </w:tr>
      <w:tr w:rsidR="00177833" w14:paraId="1F7B1369" w14:textId="77777777" w:rsidTr="00177833">
        <w:tc>
          <w:tcPr>
            <w:tcW w:w="1812" w:type="dxa"/>
          </w:tcPr>
          <w:p w14:paraId="11F28205"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Up to 3 Years</w:t>
            </w:r>
          </w:p>
        </w:tc>
        <w:tc>
          <w:tcPr>
            <w:tcW w:w="1810" w:type="dxa"/>
          </w:tcPr>
          <w:p w14:paraId="1F72BFA7"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4.24%</w:t>
            </w:r>
          </w:p>
        </w:tc>
        <w:tc>
          <w:tcPr>
            <w:tcW w:w="1819" w:type="dxa"/>
          </w:tcPr>
          <w:p w14:paraId="7C2752F8"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 xml:space="preserve">3.39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05" w:type="dxa"/>
          </w:tcPr>
          <w:p w14:paraId="0BA6F7BF"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11 days</w:t>
            </w:r>
          </w:p>
        </w:tc>
      </w:tr>
      <w:tr w:rsidR="00177833" w14:paraId="7A785209" w14:textId="77777777" w:rsidTr="00177833">
        <w:tc>
          <w:tcPr>
            <w:tcW w:w="1812" w:type="dxa"/>
          </w:tcPr>
          <w:p w14:paraId="4FA45F63"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Over 3 Years to 15 Years Inclusive</w:t>
            </w:r>
          </w:p>
        </w:tc>
        <w:tc>
          <w:tcPr>
            <w:tcW w:w="1810" w:type="dxa"/>
          </w:tcPr>
          <w:p w14:paraId="6FEC344D"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7.32%</w:t>
            </w:r>
          </w:p>
        </w:tc>
        <w:tc>
          <w:tcPr>
            <w:tcW w:w="1819" w:type="dxa"/>
          </w:tcPr>
          <w:p w14:paraId="22FCCC95"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05" w:type="dxa"/>
          </w:tcPr>
          <w:p w14:paraId="57412D6B"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19 days</w:t>
            </w:r>
          </w:p>
        </w:tc>
      </w:tr>
      <w:tr w:rsidR="00177833" w14:paraId="2916BB40" w14:textId="77777777" w:rsidTr="00177833">
        <w:tc>
          <w:tcPr>
            <w:tcW w:w="1812" w:type="dxa"/>
          </w:tcPr>
          <w:p w14:paraId="74F0203F" w14:textId="4A704450" w:rsidR="00177833" w:rsidRDefault="00177833"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810" w:type="dxa"/>
          </w:tcPr>
          <w:p w14:paraId="3B121031"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9.24%</w:t>
            </w:r>
          </w:p>
        </w:tc>
        <w:tc>
          <w:tcPr>
            <w:tcW w:w="1819" w:type="dxa"/>
          </w:tcPr>
          <w:p w14:paraId="1580DC1E"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05" w:type="dxa"/>
          </w:tcPr>
          <w:p w14:paraId="0B893083"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24 days</w:t>
            </w:r>
          </w:p>
        </w:tc>
      </w:tr>
      <w:tr w:rsidR="00177833" w14:paraId="2160C2AD" w14:textId="77777777" w:rsidTr="00177833">
        <w:tc>
          <w:tcPr>
            <w:tcW w:w="1812" w:type="dxa"/>
          </w:tcPr>
          <w:p w14:paraId="681A5FCA"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Over 25 Years*</w:t>
            </w:r>
          </w:p>
        </w:tc>
        <w:tc>
          <w:tcPr>
            <w:tcW w:w="1810" w:type="dxa"/>
          </w:tcPr>
          <w:p w14:paraId="56D9A48B"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11.55%</w:t>
            </w:r>
          </w:p>
        </w:tc>
        <w:tc>
          <w:tcPr>
            <w:tcW w:w="1819" w:type="dxa"/>
          </w:tcPr>
          <w:p w14:paraId="3386D33D"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05" w:type="dxa"/>
          </w:tcPr>
          <w:p w14:paraId="5662A500"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6356348A" w:rsidR="00AD495A" w:rsidRDefault="00AD495A" w:rsidP="00AD495A">
      <w:pPr>
        <w:ind w:left="360"/>
        <w:rPr>
          <w:rFonts w:ascii="Verdana" w:hAnsi="Verdana" w:cs="Verdana"/>
          <w:sz w:val="20"/>
          <w:szCs w:val="20"/>
        </w:rPr>
      </w:pPr>
      <w:r>
        <w:rPr>
          <w:rFonts w:ascii="Verdana" w:hAnsi="Verdana" w:cs="Verdana"/>
          <w:sz w:val="20"/>
          <w:szCs w:val="20"/>
        </w:rPr>
        <w:t xml:space="preserve">*For </w:t>
      </w:r>
      <w:r w:rsidR="00F650F1">
        <w:rPr>
          <w:rFonts w:ascii="Verdana" w:hAnsi="Verdana" w:cs="Verdana"/>
          <w:sz w:val="20"/>
          <w:szCs w:val="20"/>
        </w:rPr>
        <w:t>officers</w:t>
      </w:r>
      <w:r>
        <w:rPr>
          <w:rFonts w:ascii="Verdana" w:hAnsi="Verdana" w:cs="Verdana"/>
          <w:sz w:val="20"/>
          <w:szCs w:val="20"/>
        </w:rPr>
        <w:t xml:space="preserve"> hired</w:t>
      </w:r>
      <w:r w:rsidR="00785CC6">
        <w:rPr>
          <w:rFonts w:ascii="Verdana" w:hAnsi="Verdana" w:cs="Verdana"/>
          <w:sz w:val="20"/>
          <w:szCs w:val="20"/>
        </w:rPr>
        <w:t>/rehired</w:t>
      </w:r>
      <w:r>
        <w:rPr>
          <w:rFonts w:ascii="Verdana" w:hAnsi="Verdana" w:cs="Verdana"/>
          <w:sz w:val="20"/>
          <w:szCs w:val="20"/>
        </w:rPr>
        <w:t xml:space="preserve"> prior to </w:t>
      </w:r>
      <w:r w:rsidR="00D6292D">
        <w:rPr>
          <w:rFonts w:ascii="Verdana" w:hAnsi="Verdana" w:cs="Verdana"/>
          <w:sz w:val="20"/>
          <w:szCs w:val="20"/>
        </w:rPr>
        <w:t>October 10, 2012</w:t>
      </w:r>
      <w:r>
        <w:rPr>
          <w:rFonts w:ascii="Verdana" w:hAnsi="Verdana" w:cs="Verdana"/>
          <w:sz w:val="20"/>
          <w:szCs w:val="20"/>
        </w:rPr>
        <w:t>.</w:t>
      </w:r>
    </w:p>
    <w:p w14:paraId="31D17C86" w14:textId="5E29423D" w:rsidR="00D6292D" w:rsidRDefault="00D6292D" w:rsidP="00AD495A">
      <w:pPr>
        <w:ind w:left="360"/>
        <w:rPr>
          <w:rFonts w:ascii="Verdana" w:hAnsi="Verdana" w:cs="Verdana"/>
          <w:sz w:val="20"/>
          <w:szCs w:val="20"/>
        </w:rPr>
      </w:pPr>
    </w:p>
    <w:p w14:paraId="6FDF18BE" w14:textId="240A9FAC" w:rsidR="00D6292D" w:rsidRPr="00D6292D" w:rsidRDefault="00D6292D" w:rsidP="00D6292D">
      <w:pPr>
        <w:pStyle w:val="ListParagraph"/>
        <w:numPr>
          <w:ilvl w:val="0"/>
          <w:numId w:val="35"/>
        </w:numPr>
        <w:rPr>
          <w:rFonts w:ascii="Verdana" w:hAnsi="Verdana" w:cs="Verdana"/>
          <w:sz w:val="20"/>
          <w:szCs w:val="20"/>
        </w:rPr>
      </w:pPr>
      <w:r>
        <w:rPr>
          <w:rFonts w:ascii="Verdana" w:hAnsi="Verdana" w:cs="Verdana"/>
          <w:sz w:val="20"/>
          <w:szCs w:val="20"/>
          <w:u w:val="single"/>
        </w:rPr>
        <w:t>Annual Quota Extensions</w:t>
      </w:r>
    </w:p>
    <w:p w14:paraId="469C3E89" w14:textId="47A0B25E" w:rsidR="00D6292D" w:rsidRDefault="00D6292D" w:rsidP="00D6292D">
      <w:pPr>
        <w:pStyle w:val="ListParagraph"/>
        <w:ind w:left="360"/>
        <w:rPr>
          <w:rFonts w:ascii="Verdana" w:hAnsi="Verdana" w:cs="Verdana"/>
          <w:sz w:val="20"/>
          <w:szCs w:val="20"/>
          <w:u w:val="single"/>
        </w:rPr>
      </w:pPr>
    </w:p>
    <w:p w14:paraId="7AE79EA1" w14:textId="4FC5D8FE" w:rsidR="00D6292D" w:rsidRPr="00B90939" w:rsidRDefault="00B90939" w:rsidP="00D6292D">
      <w:pPr>
        <w:pStyle w:val="ListParagraph"/>
        <w:ind w:left="360"/>
        <w:rPr>
          <w:rFonts w:ascii="Verdana" w:hAnsi="Verdana" w:cs="Verdana"/>
          <w:sz w:val="20"/>
          <w:szCs w:val="20"/>
        </w:rPr>
      </w:pPr>
      <w:r>
        <w:rPr>
          <w:rFonts w:ascii="Verdana" w:hAnsi="Verdana" w:cs="Verdana"/>
          <w:sz w:val="20"/>
          <w:szCs w:val="20"/>
        </w:rPr>
        <w:t xml:space="preserve">Beginning with the 2017 leave calendar year, the annual quota extension process has been automated.  Annual quota hours more than 360 will be automatically extended in the next leave calendar year.  Officers will have the first seven pay periods of the leave calendar year to use the extended annual quota.  Any quota remaining at the end of the seven pay periods will be removed from the actual annual quota and added to the </w:t>
      </w:r>
      <w:r>
        <w:rPr>
          <w:rFonts w:ascii="Verdana" w:hAnsi="Verdana" w:cs="Verdana"/>
          <w:sz w:val="20"/>
          <w:szCs w:val="20"/>
        </w:rPr>
        <w:lastRenderedPageBreak/>
        <w:t>officer’s actual/anticipated sick quotas provided the office is not at the maximum</w:t>
      </w:r>
      <w:r w:rsidR="00F650F1">
        <w:rPr>
          <w:rFonts w:ascii="Verdana" w:hAnsi="Verdana" w:cs="Verdana"/>
          <w:sz w:val="20"/>
          <w:szCs w:val="20"/>
        </w:rPr>
        <w:t xml:space="preserve"> </w:t>
      </w:r>
      <w:r w:rsidR="00F650F1" w:rsidRPr="00F650F1">
        <w:rPr>
          <w:rFonts w:ascii="Verdana" w:hAnsi="Verdana"/>
          <w:sz w:val="20"/>
          <w:szCs w:val="20"/>
        </w:rPr>
        <w:t>(2680 hours/335 days</w:t>
      </w:r>
      <w:r w:rsidR="00F650F1">
        <w:rPr>
          <w:rFonts w:ascii="Verdana" w:hAnsi="Verdana"/>
          <w:sz w:val="20"/>
          <w:szCs w:val="20"/>
        </w:rPr>
        <w:t>)</w:t>
      </w:r>
      <w:r>
        <w:rPr>
          <w:rFonts w:ascii="Verdana" w:hAnsi="Verdana" w:cs="Verdana"/>
          <w:sz w:val="20"/>
          <w:szCs w:val="20"/>
        </w:rPr>
        <w:t xml:space="preserve"> for sick </w:t>
      </w:r>
      <w:r w:rsidRPr="00F650F1">
        <w:rPr>
          <w:rFonts w:ascii="Verdana" w:hAnsi="Verdana" w:cs="Verdana"/>
          <w:sz w:val="20"/>
          <w:szCs w:val="20"/>
        </w:rPr>
        <w:t>quota.</w:t>
      </w:r>
      <w:r>
        <w:rPr>
          <w:rFonts w:ascii="Verdana" w:hAnsi="Verdana" w:cs="Verdana"/>
          <w:sz w:val="20"/>
          <w:szCs w:val="20"/>
        </w:rPr>
        <w:t xml:space="preserve"> </w:t>
      </w:r>
    </w:p>
    <w:p w14:paraId="774003B2" w14:textId="77777777" w:rsidR="00AD495A" w:rsidRDefault="00AD495A" w:rsidP="00AD495A">
      <w:pPr>
        <w:ind w:left="360"/>
        <w:rPr>
          <w:rFonts w:ascii="Verdana" w:hAnsi="Verdana" w:cs="Verdana"/>
          <w:sz w:val="20"/>
          <w:szCs w:val="20"/>
        </w:rPr>
      </w:pPr>
    </w:p>
    <w:p w14:paraId="6DDAB601" w14:textId="77777777" w:rsidR="00231E37" w:rsidRPr="00561F04" w:rsidRDefault="00231E37" w:rsidP="00561F04">
      <w:pPr>
        <w:pStyle w:val="ListParagraph"/>
        <w:numPr>
          <w:ilvl w:val="0"/>
          <w:numId w:val="35"/>
        </w:numPr>
        <w:rPr>
          <w:rFonts w:ascii="Verdana" w:hAnsi="Verdana" w:cs="Verdana"/>
          <w:sz w:val="20"/>
          <w:szCs w:val="20"/>
          <w:u w:val="single"/>
        </w:rPr>
      </w:pPr>
      <w:r w:rsidRPr="00561F04">
        <w:rPr>
          <w:rFonts w:ascii="Verdana" w:hAnsi="Verdana" w:cs="Verdana"/>
          <w:sz w:val="20"/>
          <w:szCs w:val="20"/>
          <w:u w:val="single"/>
        </w:rPr>
        <w:t xml:space="preserve">Additional </w:t>
      </w:r>
      <w:r w:rsidR="00FD0C44">
        <w:rPr>
          <w:rFonts w:ascii="Verdana" w:hAnsi="Verdana" w:cs="Verdana"/>
          <w:sz w:val="20"/>
          <w:szCs w:val="20"/>
          <w:u w:val="single"/>
        </w:rPr>
        <w:t>Annual</w:t>
      </w:r>
      <w:r w:rsidRPr="00561F04">
        <w:rPr>
          <w:rFonts w:ascii="Verdana" w:hAnsi="Verdana" w:cs="Verdana"/>
          <w:sz w:val="20"/>
          <w:szCs w:val="20"/>
          <w:u w:val="single"/>
        </w:rPr>
        <w:t xml:space="preserve"> Leave Earnings When No </w:t>
      </w:r>
      <w:r w:rsidR="00363D4A" w:rsidRPr="00561F04">
        <w:rPr>
          <w:rFonts w:ascii="Verdana" w:hAnsi="Verdana" w:cs="Verdana"/>
          <w:sz w:val="20"/>
          <w:szCs w:val="20"/>
          <w:u w:val="single"/>
        </w:rPr>
        <w:t>S</w:t>
      </w:r>
      <w:r w:rsidRPr="00561F04">
        <w:rPr>
          <w:rFonts w:ascii="Verdana" w:hAnsi="Verdana" w:cs="Verdana"/>
          <w:sz w:val="20"/>
          <w:szCs w:val="20"/>
          <w:u w:val="single"/>
        </w:rPr>
        <w:t>ick Leave is Used</w:t>
      </w:r>
    </w:p>
    <w:p w14:paraId="7A852564" w14:textId="77777777" w:rsidR="00231E37" w:rsidRPr="00561F04" w:rsidRDefault="00231E37" w:rsidP="00E56507">
      <w:pPr>
        <w:rPr>
          <w:rFonts w:ascii="Verdana" w:hAnsi="Verdana" w:cs="Verdana"/>
          <w:sz w:val="20"/>
          <w:szCs w:val="20"/>
        </w:rPr>
      </w:pPr>
    </w:p>
    <w:p w14:paraId="60F87638" w14:textId="6E6D5F48" w:rsidR="00231E37" w:rsidRPr="002F21B7" w:rsidRDefault="00231E37" w:rsidP="002F21B7">
      <w:pPr>
        <w:ind w:left="360"/>
        <w:rPr>
          <w:rFonts w:ascii="Verdana" w:hAnsi="Verdana" w:cs="Verdana"/>
          <w:sz w:val="20"/>
          <w:szCs w:val="20"/>
        </w:rPr>
      </w:pPr>
      <w:r w:rsidRPr="002F21B7">
        <w:rPr>
          <w:rFonts w:ascii="Verdana" w:hAnsi="Verdana" w:cs="Verdana"/>
          <w:sz w:val="20"/>
          <w:szCs w:val="20"/>
        </w:rPr>
        <w:t>Effective at the beginning of the 201</w:t>
      </w:r>
      <w:r w:rsidR="00FD0C44" w:rsidRPr="002F21B7">
        <w:rPr>
          <w:rFonts w:ascii="Verdana" w:hAnsi="Verdana" w:cs="Verdana"/>
          <w:sz w:val="20"/>
          <w:szCs w:val="20"/>
        </w:rPr>
        <w:t>7</w:t>
      </w:r>
      <w:r w:rsidRPr="002F21B7">
        <w:rPr>
          <w:rFonts w:ascii="Verdana" w:hAnsi="Verdana" w:cs="Verdana"/>
          <w:sz w:val="20"/>
          <w:szCs w:val="20"/>
        </w:rPr>
        <w:t xml:space="preserve"> leave calendar year, </w:t>
      </w:r>
      <w:r w:rsidR="00F650F1" w:rsidRPr="002F21B7">
        <w:rPr>
          <w:rFonts w:ascii="Verdana" w:hAnsi="Verdana" w:cs="Verdana"/>
          <w:sz w:val="20"/>
          <w:szCs w:val="20"/>
        </w:rPr>
        <w:t>officers</w:t>
      </w:r>
      <w:r w:rsidRPr="002F21B7">
        <w:rPr>
          <w:rFonts w:ascii="Verdana" w:hAnsi="Verdana" w:cs="Verdana"/>
          <w:sz w:val="20"/>
          <w:szCs w:val="20"/>
        </w:rPr>
        <w:t xml:space="preserve"> who use no sick leave in </w:t>
      </w:r>
      <w:r w:rsidR="00FD0C44" w:rsidRPr="002F21B7">
        <w:rPr>
          <w:rFonts w:ascii="Verdana" w:hAnsi="Verdana" w:cs="Verdana"/>
          <w:sz w:val="20"/>
          <w:szCs w:val="20"/>
        </w:rPr>
        <w:t>a leave calendar year will earn an additional day (</w:t>
      </w:r>
      <w:r w:rsidR="00466C9F" w:rsidRPr="002F21B7">
        <w:rPr>
          <w:rFonts w:ascii="Verdana" w:hAnsi="Verdana" w:cs="Verdana"/>
          <w:sz w:val="20"/>
          <w:szCs w:val="20"/>
        </w:rPr>
        <w:t>7.50/8.00</w:t>
      </w:r>
      <w:r w:rsidR="00FD0C44" w:rsidRPr="002F21B7">
        <w:rPr>
          <w:rFonts w:ascii="Verdana" w:hAnsi="Verdana" w:cs="Verdana"/>
          <w:sz w:val="20"/>
          <w:szCs w:val="20"/>
        </w:rPr>
        <w:t xml:space="preserve"> hours) of annual leave. </w:t>
      </w:r>
      <w:r w:rsidRPr="002F21B7">
        <w:rPr>
          <w:rFonts w:ascii="Verdana" w:hAnsi="Verdana" w:cs="Verdana"/>
          <w:sz w:val="20"/>
          <w:szCs w:val="20"/>
        </w:rPr>
        <w:t xml:space="preserve">  </w:t>
      </w:r>
      <w:r w:rsidR="00FD0C44" w:rsidRPr="002F21B7">
        <w:rPr>
          <w:rFonts w:ascii="Verdana" w:hAnsi="Verdana" w:cs="Verdana"/>
          <w:sz w:val="20"/>
          <w:szCs w:val="20"/>
        </w:rPr>
        <w:t xml:space="preserve">The additional earnings will be available for use in the </w:t>
      </w:r>
      <w:r w:rsidR="00466C9F" w:rsidRPr="002F21B7">
        <w:rPr>
          <w:rFonts w:ascii="Verdana" w:hAnsi="Verdana" w:cs="Verdana"/>
          <w:sz w:val="20"/>
          <w:szCs w:val="20"/>
        </w:rPr>
        <w:t>next</w:t>
      </w:r>
      <w:r w:rsidR="00FD0C44" w:rsidRPr="002F21B7">
        <w:rPr>
          <w:rFonts w:ascii="Verdana" w:hAnsi="Verdana" w:cs="Verdana"/>
          <w:sz w:val="20"/>
          <w:szCs w:val="20"/>
        </w:rPr>
        <w:t xml:space="preserve"> leave calendar year. </w:t>
      </w:r>
      <w:r w:rsidR="00363D4A" w:rsidRPr="002F21B7">
        <w:rPr>
          <w:rFonts w:ascii="Verdana" w:hAnsi="Verdana" w:cs="Verdana"/>
          <w:sz w:val="20"/>
          <w:szCs w:val="20"/>
        </w:rPr>
        <w:t>T</w:t>
      </w:r>
      <w:r w:rsidR="00093182" w:rsidRPr="002F21B7">
        <w:rPr>
          <w:rFonts w:ascii="Verdana" w:hAnsi="Verdana" w:cs="Verdana"/>
          <w:sz w:val="20"/>
          <w:szCs w:val="20"/>
        </w:rPr>
        <w:t>he following absences types will count as sick leave usage:</w:t>
      </w:r>
    </w:p>
    <w:p w14:paraId="36DC3D27" w14:textId="77777777" w:rsidR="00093182" w:rsidRDefault="00093182" w:rsidP="00561F04">
      <w:pPr>
        <w:ind w:left="360"/>
        <w:rPr>
          <w:rFonts w:ascii="Verdana" w:hAnsi="Verdana" w:cs="Verdana"/>
          <w:sz w:val="20"/>
          <w:szCs w:val="20"/>
        </w:rPr>
      </w:pPr>
      <w:r>
        <w:rPr>
          <w:rFonts w:ascii="Verdana" w:hAnsi="Verdana" w:cs="Verdana"/>
          <w:sz w:val="20"/>
          <w:szCs w:val="20"/>
        </w:rPr>
        <w:tab/>
      </w:r>
    </w:p>
    <w:p w14:paraId="3A22CFD8" w14:textId="77777777" w:rsidR="00093182" w:rsidRDefault="00093182" w:rsidP="00561F04">
      <w:pPr>
        <w:pStyle w:val="ListParagraph"/>
        <w:numPr>
          <w:ilvl w:val="0"/>
          <w:numId w:val="34"/>
        </w:numPr>
        <w:ind w:left="1800"/>
        <w:rPr>
          <w:rFonts w:ascii="Verdana" w:hAnsi="Verdana" w:cs="Verdana"/>
          <w:sz w:val="20"/>
          <w:szCs w:val="20"/>
        </w:rPr>
      </w:pPr>
      <w:r>
        <w:rPr>
          <w:rFonts w:ascii="Verdana" w:hAnsi="Verdana" w:cs="Verdana"/>
          <w:sz w:val="20"/>
          <w:szCs w:val="20"/>
        </w:rPr>
        <w:t>Sick leave for personal illness</w:t>
      </w:r>
    </w:p>
    <w:p w14:paraId="648C60AB" w14:textId="77777777" w:rsidR="00093182" w:rsidRDefault="00093182" w:rsidP="00561F04">
      <w:pPr>
        <w:pStyle w:val="ListParagraph"/>
        <w:numPr>
          <w:ilvl w:val="0"/>
          <w:numId w:val="34"/>
        </w:numPr>
        <w:ind w:left="1800"/>
        <w:rPr>
          <w:rFonts w:ascii="Verdana" w:hAnsi="Verdana" w:cs="Verdana"/>
          <w:sz w:val="20"/>
          <w:szCs w:val="20"/>
        </w:rPr>
      </w:pPr>
      <w:r>
        <w:rPr>
          <w:rFonts w:ascii="Verdana" w:hAnsi="Verdana" w:cs="Verdana"/>
          <w:sz w:val="20"/>
          <w:szCs w:val="20"/>
        </w:rPr>
        <w:t>SPF sick leave</w:t>
      </w:r>
    </w:p>
    <w:p w14:paraId="786559BB" w14:textId="77777777" w:rsidR="00093182" w:rsidRDefault="00561F04" w:rsidP="00561F04">
      <w:pPr>
        <w:pStyle w:val="ListParagraph"/>
        <w:numPr>
          <w:ilvl w:val="0"/>
          <w:numId w:val="34"/>
        </w:numPr>
        <w:ind w:left="1800"/>
        <w:rPr>
          <w:rFonts w:ascii="Verdana" w:hAnsi="Verdana" w:cs="Verdana"/>
          <w:sz w:val="20"/>
          <w:szCs w:val="20"/>
        </w:rPr>
      </w:pPr>
      <w:r>
        <w:rPr>
          <w:rFonts w:ascii="Verdana" w:hAnsi="Verdana" w:cs="Verdana"/>
          <w:sz w:val="20"/>
          <w:szCs w:val="20"/>
        </w:rPr>
        <w:t>Sick f</w:t>
      </w:r>
      <w:r w:rsidR="00093182">
        <w:rPr>
          <w:rFonts w:ascii="Verdana" w:hAnsi="Verdana" w:cs="Verdana"/>
          <w:sz w:val="20"/>
          <w:szCs w:val="20"/>
        </w:rPr>
        <w:t>amily</w:t>
      </w:r>
    </w:p>
    <w:p w14:paraId="6330646D" w14:textId="57EF5446" w:rsidR="00093182" w:rsidRDefault="00093182" w:rsidP="00561F04">
      <w:pPr>
        <w:pStyle w:val="ListParagraph"/>
        <w:numPr>
          <w:ilvl w:val="0"/>
          <w:numId w:val="34"/>
        </w:numPr>
        <w:ind w:left="1800"/>
        <w:rPr>
          <w:rFonts w:ascii="Verdana" w:hAnsi="Verdana" w:cs="Verdana"/>
          <w:sz w:val="20"/>
          <w:szCs w:val="20"/>
        </w:rPr>
      </w:pPr>
      <w:r>
        <w:rPr>
          <w:rFonts w:ascii="Verdana" w:hAnsi="Verdana" w:cs="Verdana"/>
          <w:sz w:val="20"/>
          <w:szCs w:val="20"/>
        </w:rPr>
        <w:t>Unpaid sick leave for SPF reasons</w:t>
      </w:r>
    </w:p>
    <w:p w14:paraId="1380D38E" w14:textId="7BD2D641" w:rsidR="00D6292D" w:rsidRDefault="00D6292D" w:rsidP="00561F04">
      <w:pPr>
        <w:pStyle w:val="ListParagraph"/>
        <w:numPr>
          <w:ilvl w:val="0"/>
          <w:numId w:val="34"/>
        </w:numPr>
        <w:ind w:left="1800"/>
        <w:rPr>
          <w:rFonts w:ascii="Verdana" w:hAnsi="Verdana" w:cs="Verdana"/>
          <w:sz w:val="20"/>
          <w:szCs w:val="20"/>
        </w:rPr>
      </w:pPr>
      <w:r>
        <w:rPr>
          <w:rFonts w:ascii="Verdana" w:hAnsi="Verdana" w:cs="Verdana"/>
          <w:sz w:val="20"/>
          <w:szCs w:val="20"/>
        </w:rPr>
        <w:t>Paid/unpaid leave used for work-related injuries</w:t>
      </w:r>
    </w:p>
    <w:p w14:paraId="02501CAC" w14:textId="77777777" w:rsidR="00363D4A" w:rsidRDefault="00363D4A" w:rsidP="00561F04">
      <w:pPr>
        <w:pStyle w:val="ListParagraph"/>
        <w:ind w:left="1800"/>
        <w:rPr>
          <w:rFonts w:ascii="Verdana" w:hAnsi="Verdana" w:cs="Verdana"/>
          <w:sz w:val="20"/>
          <w:szCs w:val="20"/>
        </w:rPr>
      </w:pPr>
    </w:p>
    <w:p w14:paraId="068E6D3D" w14:textId="61A153D4" w:rsidR="00093182" w:rsidRDefault="00363D4A" w:rsidP="00561F04">
      <w:pPr>
        <w:ind w:left="360"/>
        <w:rPr>
          <w:rFonts w:ascii="Verdana" w:hAnsi="Verdana" w:cs="Verdana"/>
          <w:sz w:val="20"/>
          <w:szCs w:val="20"/>
        </w:rPr>
      </w:pPr>
      <w:r>
        <w:rPr>
          <w:rFonts w:ascii="Verdana" w:hAnsi="Verdana" w:cs="Verdana"/>
          <w:sz w:val="20"/>
          <w:szCs w:val="20"/>
        </w:rPr>
        <w:t xml:space="preserve">Note:  Sick </w:t>
      </w:r>
      <w:r w:rsidR="00561F04">
        <w:rPr>
          <w:rFonts w:ascii="Verdana" w:hAnsi="Verdana" w:cs="Verdana"/>
          <w:sz w:val="20"/>
          <w:szCs w:val="20"/>
        </w:rPr>
        <w:t>b</w:t>
      </w:r>
      <w:r>
        <w:rPr>
          <w:rFonts w:ascii="Verdana" w:hAnsi="Verdana" w:cs="Verdana"/>
          <w:sz w:val="20"/>
          <w:szCs w:val="20"/>
        </w:rPr>
        <w:t>ereavement leave will not count as sick leave usage</w:t>
      </w:r>
      <w:r w:rsidR="00561F04">
        <w:rPr>
          <w:rFonts w:ascii="Verdana" w:hAnsi="Verdana" w:cs="Verdana"/>
          <w:sz w:val="20"/>
          <w:szCs w:val="20"/>
        </w:rPr>
        <w:t>.</w:t>
      </w:r>
      <w:r w:rsidR="00197DCA">
        <w:rPr>
          <w:rFonts w:ascii="Verdana" w:hAnsi="Verdana" w:cs="Verdana"/>
          <w:sz w:val="20"/>
          <w:szCs w:val="20"/>
        </w:rPr>
        <w:t xml:space="preserve">  </w:t>
      </w:r>
    </w:p>
    <w:p w14:paraId="0519CC9A" w14:textId="77777777" w:rsidR="00D6292D" w:rsidRDefault="00D6292D" w:rsidP="00561F04">
      <w:pPr>
        <w:ind w:left="360"/>
        <w:rPr>
          <w:rFonts w:ascii="Verdana" w:hAnsi="Verdana" w:cs="Verdana"/>
          <w:sz w:val="20"/>
          <w:szCs w:val="20"/>
        </w:rPr>
      </w:pPr>
    </w:p>
    <w:p w14:paraId="21015F2E" w14:textId="7329B2C1" w:rsidR="00093182" w:rsidRDefault="00F650F1" w:rsidP="00561F04">
      <w:pPr>
        <w:ind w:left="360"/>
        <w:rPr>
          <w:rFonts w:ascii="Verdana" w:hAnsi="Verdana" w:cs="Verdana"/>
          <w:sz w:val="20"/>
          <w:szCs w:val="20"/>
        </w:rPr>
      </w:pPr>
      <w:r>
        <w:rPr>
          <w:rFonts w:ascii="Verdana" w:hAnsi="Verdana" w:cs="Verdana"/>
          <w:sz w:val="20"/>
          <w:szCs w:val="20"/>
        </w:rPr>
        <w:t>Officers</w:t>
      </w:r>
      <w:r w:rsidR="00093182">
        <w:rPr>
          <w:rFonts w:ascii="Verdana" w:hAnsi="Verdana" w:cs="Verdana"/>
          <w:sz w:val="20"/>
          <w:szCs w:val="20"/>
        </w:rPr>
        <w:t xml:space="preserve"> must have at least one year of service since their most recent hire date (as reflected on IT0041/Z2 date) to be eligible to earn additional </w:t>
      </w:r>
      <w:r w:rsidR="00FD0C44">
        <w:rPr>
          <w:rFonts w:ascii="Verdana" w:hAnsi="Verdana" w:cs="Verdana"/>
          <w:sz w:val="20"/>
          <w:szCs w:val="20"/>
        </w:rPr>
        <w:t>annual</w:t>
      </w:r>
      <w:r w:rsidR="00093182">
        <w:rPr>
          <w:rFonts w:ascii="Verdana" w:hAnsi="Verdana" w:cs="Verdana"/>
          <w:sz w:val="20"/>
          <w:szCs w:val="20"/>
        </w:rPr>
        <w:t xml:space="preserve"> leave.  </w:t>
      </w:r>
    </w:p>
    <w:p w14:paraId="2AD29D1D" w14:textId="49380647" w:rsidR="00B50247" w:rsidRDefault="00B50247" w:rsidP="00561F04">
      <w:pPr>
        <w:ind w:left="360"/>
        <w:rPr>
          <w:rFonts w:ascii="Verdana" w:hAnsi="Verdana" w:cs="Verdana"/>
          <w:sz w:val="20"/>
          <w:szCs w:val="20"/>
        </w:rPr>
      </w:pPr>
    </w:p>
    <w:p w14:paraId="0555BD52" w14:textId="7769E343" w:rsidR="00B50247" w:rsidRDefault="00B50247" w:rsidP="00561F04">
      <w:pPr>
        <w:ind w:left="360"/>
        <w:rPr>
          <w:rFonts w:ascii="Verdana" w:hAnsi="Verdana" w:cs="Verdana"/>
          <w:sz w:val="20"/>
          <w:szCs w:val="20"/>
        </w:rPr>
      </w:pPr>
      <w:r>
        <w:rPr>
          <w:rFonts w:ascii="Verdana" w:hAnsi="Verdana" w:cs="Verdana"/>
          <w:sz w:val="20"/>
          <w:szCs w:val="20"/>
        </w:rPr>
        <w:t xml:space="preserve">New Time Types have been created to allow users to identify </w:t>
      </w:r>
      <w:r w:rsidR="00F650F1">
        <w:rPr>
          <w:rFonts w:ascii="Verdana" w:hAnsi="Verdana" w:cs="Verdana"/>
          <w:sz w:val="20"/>
          <w:szCs w:val="20"/>
        </w:rPr>
        <w:t>officers</w:t>
      </w:r>
      <w:r>
        <w:rPr>
          <w:rFonts w:ascii="Verdana" w:hAnsi="Verdana" w:cs="Verdana"/>
          <w:sz w:val="20"/>
          <w:szCs w:val="20"/>
        </w:rPr>
        <w:t xml:space="preserve"> who have earned the additional annual hours (PT_BAL00 – Cumulated Time Evaluation Results – Day balances):</w:t>
      </w:r>
    </w:p>
    <w:p w14:paraId="08739E49" w14:textId="2CE1E84F" w:rsidR="00B50247" w:rsidRDefault="00B50247" w:rsidP="00561F04">
      <w:pPr>
        <w:ind w:left="360"/>
        <w:rPr>
          <w:rFonts w:ascii="Verdana" w:hAnsi="Verdana" w:cs="Verdana"/>
          <w:sz w:val="20"/>
          <w:szCs w:val="20"/>
        </w:rPr>
      </w:pPr>
    </w:p>
    <w:p w14:paraId="7199E9C6" w14:textId="7D2DC2AE" w:rsidR="00B50247" w:rsidRDefault="00B50247" w:rsidP="00B50247">
      <w:pPr>
        <w:pStyle w:val="ListParagraph"/>
        <w:numPr>
          <w:ilvl w:val="0"/>
          <w:numId w:val="41"/>
        </w:numPr>
        <w:rPr>
          <w:rFonts w:ascii="Verdana" w:hAnsi="Verdana" w:cs="Verdana"/>
          <w:sz w:val="20"/>
          <w:szCs w:val="20"/>
        </w:rPr>
      </w:pPr>
      <w:r>
        <w:rPr>
          <w:rFonts w:ascii="Verdana" w:hAnsi="Verdana" w:cs="Verdana"/>
          <w:sz w:val="20"/>
          <w:szCs w:val="20"/>
        </w:rPr>
        <w:t xml:space="preserve">ZAHH – </w:t>
      </w:r>
      <w:r w:rsidR="002D6455">
        <w:rPr>
          <w:rFonts w:ascii="Verdana" w:hAnsi="Verdana" w:cs="Verdana"/>
          <w:sz w:val="20"/>
          <w:szCs w:val="20"/>
        </w:rPr>
        <w:t xml:space="preserve">Add. Daily </w:t>
      </w:r>
      <w:proofErr w:type="spellStart"/>
      <w:r w:rsidR="002D6455">
        <w:rPr>
          <w:rFonts w:ascii="Verdana" w:hAnsi="Verdana" w:cs="Verdana"/>
          <w:sz w:val="20"/>
          <w:szCs w:val="20"/>
        </w:rPr>
        <w:t>Hrs</w:t>
      </w:r>
      <w:proofErr w:type="spellEnd"/>
      <w:r w:rsidR="002D6455">
        <w:rPr>
          <w:rFonts w:ascii="Verdana" w:hAnsi="Verdana" w:cs="Verdana"/>
          <w:sz w:val="20"/>
          <w:szCs w:val="20"/>
        </w:rPr>
        <w:t xml:space="preserve"> Holder (</w:t>
      </w:r>
      <w:r w:rsidR="00D66818">
        <w:rPr>
          <w:rFonts w:ascii="Verdana" w:hAnsi="Verdana" w:cs="Verdana"/>
          <w:sz w:val="20"/>
          <w:szCs w:val="20"/>
        </w:rPr>
        <w:t>r</w:t>
      </w:r>
      <w:r w:rsidR="00896241">
        <w:rPr>
          <w:rFonts w:ascii="Verdana" w:hAnsi="Verdana" w:cs="Verdana"/>
          <w:sz w:val="20"/>
          <w:szCs w:val="20"/>
        </w:rPr>
        <w:t>eplaces ZAPL in the cutover leave calendar year</w:t>
      </w:r>
      <w:r w:rsidR="00D66818">
        <w:rPr>
          <w:rFonts w:ascii="Verdana" w:hAnsi="Verdana" w:cs="Verdana"/>
          <w:sz w:val="20"/>
          <w:szCs w:val="20"/>
        </w:rPr>
        <w:t>)</w:t>
      </w:r>
    </w:p>
    <w:p w14:paraId="066D0776" w14:textId="2A1AC37D" w:rsidR="00B50247" w:rsidRDefault="00B50247" w:rsidP="00B50247">
      <w:pPr>
        <w:pStyle w:val="ListParagraph"/>
        <w:numPr>
          <w:ilvl w:val="0"/>
          <w:numId w:val="41"/>
        </w:numPr>
        <w:rPr>
          <w:rFonts w:ascii="Verdana" w:hAnsi="Verdana" w:cs="Verdana"/>
          <w:sz w:val="20"/>
          <w:szCs w:val="20"/>
        </w:rPr>
      </w:pPr>
      <w:r>
        <w:rPr>
          <w:rFonts w:ascii="Verdana" w:hAnsi="Verdana" w:cs="Verdana"/>
          <w:sz w:val="20"/>
          <w:szCs w:val="20"/>
        </w:rPr>
        <w:t>ZAQ1 – Ad. Annual Gen. 1</w:t>
      </w:r>
      <w:r w:rsidRPr="00B50247">
        <w:rPr>
          <w:rFonts w:ascii="Verdana" w:hAnsi="Verdana" w:cs="Verdana"/>
          <w:sz w:val="20"/>
          <w:szCs w:val="20"/>
          <w:vertAlign w:val="superscript"/>
        </w:rPr>
        <w:t>st</w:t>
      </w:r>
      <w:r>
        <w:rPr>
          <w:rFonts w:ascii="Verdana" w:hAnsi="Verdana" w:cs="Verdana"/>
          <w:sz w:val="20"/>
          <w:szCs w:val="20"/>
        </w:rPr>
        <w:t xml:space="preserve"> half</w:t>
      </w:r>
    </w:p>
    <w:p w14:paraId="1BB75A98" w14:textId="0C97FBC1" w:rsidR="00B50247" w:rsidRDefault="00B50247" w:rsidP="00B50247">
      <w:pPr>
        <w:pStyle w:val="ListParagraph"/>
        <w:numPr>
          <w:ilvl w:val="0"/>
          <w:numId w:val="41"/>
        </w:numPr>
        <w:rPr>
          <w:rFonts w:ascii="Verdana" w:hAnsi="Verdana" w:cs="Verdana"/>
          <w:sz w:val="20"/>
          <w:szCs w:val="20"/>
        </w:rPr>
      </w:pPr>
      <w:r>
        <w:rPr>
          <w:rFonts w:ascii="Verdana" w:hAnsi="Verdana" w:cs="Verdana"/>
          <w:sz w:val="20"/>
          <w:szCs w:val="20"/>
        </w:rPr>
        <w:t>ZAQ2 – Ad. Annual Gen. 2</w:t>
      </w:r>
      <w:r w:rsidRPr="00B50247">
        <w:rPr>
          <w:rFonts w:ascii="Verdana" w:hAnsi="Verdana" w:cs="Verdana"/>
          <w:sz w:val="20"/>
          <w:szCs w:val="20"/>
          <w:vertAlign w:val="superscript"/>
        </w:rPr>
        <w:t>nd</w:t>
      </w:r>
      <w:r>
        <w:rPr>
          <w:rFonts w:ascii="Verdana" w:hAnsi="Verdana" w:cs="Verdana"/>
          <w:sz w:val="20"/>
          <w:szCs w:val="20"/>
        </w:rPr>
        <w:t xml:space="preserve"> half</w:t>
      </w:r>
    </w:p>
    <w:p w14:paraId="6F4BC10D" w14:textId="5DF01E85" w:rsidR="00B50247" w:rsidRPr="00B50247" w:rsidRDefault="00B50247" w:rsidP="00B50247">
      <w:pPr>
        <w:pStyle w:val="ListParagraph"/>
        <w:numPr>
          <w:ilvl w:val="0"/>
          <w:numId w:val="41"/>
        </w:numPr>
        <w:rPr>
          <w:rFonts w:ascii="Verdana" w:hAnsi="Verdana" w:cs="Verdana"/>
          <w:sz w:val="20"/>
          <w:szCs w:val="20"/>
        </w:rPr>
      </w:pPr>
      <w:r>
        <w:rPr>
          <w:rFonts w:ascii="Verdana" w:hAnsi="Verdana" w:cs="Verdana"/>
          <w:sz w:val="20"/>
          <w:szCs w:val="20"/>
        </w:rPr>
        <w:t>ZAQB – Add. Annual Both Halves</w:t>
      </w:r>
    </w:p>
    <w:p w14:paraId="4CAD2D05" w14:textId="77777777" w:rsidR="00223BA4" w:rsidRDefault="00223BA4" w:rsidP="00561F04">
      <w:pPr>
        <w:ind w:left="360"/>
        <w:rPr>
          <w:rFonts w:ascii="Verdana" w:hAnsi="Verdana" w:cs="Verdana"/>
          <w:b/>
          <w:sz w:val="20"/>
          <w:szCs w:val="20"/>
          <w:u w:val="single"/>
        </w:rPr>
      </w:pPr>
    </w:p>
    <w:p w14:paraId="07200AB6" w14:textId="77777777" w:rsidR="00032F54" w:rsidRDefault="00032F54" w:rsidP="00561F04">
      <w:pPr>
        <w:ind w:left="360"/>
        <w:rPr>
          <w:rFonts w:ascii="Verdana" w:hAnsi="Verdana" w:cs="Verdana"/>
          <w:sz w:val="20"/>
          <w:szCs w:val="20"/>
        </w:rPr>
      </w:pPr>
    </w:p>
    <w:p w14:paraId="6A779E26" w14:textId="61592130"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hyperlink r:id="rId8" w:history="1">
        <w:r w:rsidR="00491199" w:rsidRPr="00761A62">
          <w:rPr>
            <w:rStyle w:val="Hyperlink"/>
            <w:rFonts w:ascii="Verdana" w:hAnsi="Verdana" w:cs="Verdana"/>
            <w:sz w:val="20"/>
            <w:szCs w:val="20"/>
          </w:rPr>
          <w:t>ra-oaleave@pa.gov</w:t>
        </w:r>
      </w:hyperlink>
      <w:r w:rsidR="00491199">
        <w:rPr>
          <w:rFonts w:ascii="Verdana" w:hAnsi="Verdana" w:cs="Verdana"/>
          <w:sz w:val="20"/>
          <w:szCs w:val="20"/>
        </w:rPr>
        <w:t xml:space="preserve"> </w:t>
      </w:r>
      <w:r>
        <w:rPr>
          <w:rFonts w:ascii="Verdana" w:hAnsi="Verdana" w:cs="Verdana"/>
          <w:sz w:val="20"/>
          <w:szCs w:val="20"/>
        </w:rPr>
        <w:t>or 717.787.9872.</w:t>
      </w:r>
    </w:p>
    <w:p w14:paraId="09FB1131" w14:textId="77777777" w:rsidR="00DC59B1" w:rsidRDefault="00DC59B1" w:rsidP="00E56507">
      <w:pPr>
        <w:rPr>
          <w:rFonts w:ascii="Verdana" w:hAnsi="Verdana" w:cs="Verdana"/>
          <w:sz w:val="20"/>
          <w:szCs w:val="20"/>
        </w:rPr>
      </w:pPr>
    </w:p>
    <w:p w14:paraId="7FCF422A" w14:textId="77777777" w:rsidR="00CD62C7" w:rsidRPr="009C1B31" w:rsidRDefault="00CD62C7" w:rsidP="00E56507">
      <w:pPr>
        <w:rPr>
          <w:rFonts w:ascii="Verdana" w:hAnsi="Verdana" w:cs="Verdana"/>
          <w:sz w:val="20"/>
          <w:szCs w:val="20"/>
        </w:rPr>
      </w:pPr>
    </w:p>
    <w:p w14:paraId="4D2A3C65" w14:textId="77777777"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r w:rsidR="002D15C1">
        <w:rPr>
          <w:rFonts w:ascii="Verdana" w:hAnsi="Verdana" w:cs="Verdana"/>
          <w:sz w:val="20"/>
          <w:szCs w:val="20"/>
        </w:rPr>
        <w:t>this alert</w:t>
      </w:r>
      <w:r w:rsidRPr="009C1B31">
        <w:rPr>
          <w:rFonts w:ascii="Verdana" w:hAnsi="Verdana" w:cs="Verdana"/>
          <w:sz w:val="20"/>
          <w:szCs w:val="20"/>
        </w:rPr>
        <w:t xml:space="preserve">, please submit an </w:t>
      </w:r>
      <w:hyperlink r:id="rId9"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14CE1">
        <w:rPr>
          <w:rFonts w:ascii="Verdana" w:hAnsi="Verdana" w:cs="Verdana"/>
          <w:sz w:val="20"/>
          <w:szCs w:val="20"/>
        </w:rPr>
        <w:t>time</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6465F2">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114CE1">
        <w:rPr>
          <w:rFonts w:ascii="Verdana" w:hAnsi="Verdana" w:cs="Verdana"/>
          <w:sz w:val="20"/>
          <w:szCs w:val="20"/>
        </w:rPr>
        <w:t>, Option 2</w:t>
      </w:r>
      <w:r w:rsidR="00685856" w:rsidRPr="00685856">
        <w:rPr>
          <w:rFonts w:ascii="Verdana" w:hAnsi="Verdana" w:cs="Verdana"/>
          <w:sz w:val="20"/>
          <w:szCs w:val="20"/>
        </w:rPr>
        <w:t xml:space="preserve">. </w:t>
      </w:r>
    </w:p>
    <w:sectPr w:rsidR="00377242"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CC62" w14:textId="5D227562"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23606">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5AF06035" w:rsidR="00E37F42" w:rsidRPr="009C625C" w:rsidRDefault="00E23606"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73D7">
          <w:rPr>
            <w:rFonts w:ascii="Verdana" w:hAnsi="Verdana" w:cs="Arial"/>
            <w:b/>
            <w:bCs/>
            <w:sz w:val="28"/>
            <w:szCs w:val="28"/>
          </w:rPr>
          <w:t>2017-</w:t>
        </w:r>
        <w:r w:rsidR="00F9096B">
          <w:rPr>
            <w:rFonts w:ascii="Verdana" w:hAnsi="Verdana" w:cs="Arial"/>
            <w:b/>
            <w:bCs/>
            <w:sz w:val="28"/>
            <w:szCs w:val="28"/>
          </w:rPr>
          <w:t>13</w:t>
        </w:r>
      </w:sdtContent>
    </w:sdt>
  </w:p>
  <w:p w14:paraId="57C1C8E0" w14:textId="44E16C10"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9850EE">
      <w:rPr>
        <w:rFonts w:ascii="Verdana" w:hAnsi="Verdana" w:cs="Arial"/>
        <w:sz w:val="20"/>
        <w:szCs w:val="20"/>
      </w:rPr>
      <w:t>05</w:t>
    </w:r>
    <w:r w:rsidR="00E80B17">
      <w:rPr>
        <w:rFonts w:ascii="Verdana" w:hAnsi="Verdana" w:cs="Arial"/>
        <w:sz w:val="20"/>
        <w:szCs w:val="20"/>
      </w:rPr>
      <w:t>.</w:t>
    </w:r>
    <w:r w:rsidR="00E23606">
      <w:rPr>
        <w:rFonts w:ascii="Verdana" w:hAnsi="Verdana" w:cs="Arial"/>
        <w:sz w:val="20"/>
        <w:szCs w:val="20"/>
      </w:rPr>
      <w:t>30</w:t>
    </w:r>
    <w:r w:rsidR="00E45793">
      <w:rPr>
        <w:rFonts w:ascii="Verdana" w:hAnsi="Verdana" w:cs="Arial"/>
        <w:sz w:val="20"/>
        <w:szCs w:val="20"/>
      </w:rPr>
      <w:t>.1</w:t>
    </w:r>
    <w:r w:rsidR="00FD0C44">
      <w:rPr>
        <w:rFonts w:ascii="Verdana" w:hAnsi="Verdana" w:cs="Arial"/>
        <w:sz w:val="20"/>
        <w:szCs w:val="20"/>
      </w:rPr>
      <w:t>7</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3"/>
  </w:num>
  <w:num w:numId="5">
    <w:abstractNumId w:val="36"/>
  </w:num>
  <w:num w:numId="6">
    <w:abstractNumId w:val="31"/>
  </w:num>
  <w:num w:numId="7">
    <w:abstractNumId w:val="16"/>
  </w:num>
  <w:num w:numId="8">
    <w:abstractNumId w:val="34"/>
  </w:num>
  <w:num w:numId="9">
    <w:abstractNumId w:val="9"/>
  </w:num>
  <w:num w:numId="10">
    <w:abstractNumId w:val="25"/>
  </w:num>
  <w:num w:numId="11">
    <w:abstractNumId w:val="15"/>
  </w:num>
  <w:num w:numId="12">
    <w:abstractNumId w:val="38"/>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39"/>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7"/>
  </w:num>
  <w:num w:numId="32">
    <w:abstractNumId w:val="7"/>
  </w:num>
  <w:num w:numId="33">
    <w:abstractNumId w:val="20"/>
  </w:num>
  <w:num w:numId="34">
    <w:abstractNumId w:val="6"/>
  </w:num>
  <w:num w:numId="35">
    <w:abstractNumId w:val="8"/>
  </w:num>
  <w:num w:numId="36">
    <w:abstractNumId w:val="35"/>
  </w:num>
  <w:num w:numId="37">
    <w:abstractNumId w:val="4"/>
  </w:num>
  <w:num w:numId="38">
    <w:abstractNumId w:val="32"/>
  </w:num>
  <w:num w:numId="39">
    <w:abstractNumId w:val="40"/>
  </w:num>
  <w:num w:numId="40">
    <w:abstractNumId w:val="1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069A6"/>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73D7"/>
    <w:rsid w:val="00163F86"/>
    <w:rsid w:val="00172103"/>
    <w:rsid w:val="00175C94"/>
    <w:rsid w:val="00175DDB"/>
    <w:rsid w:val="00177833"/>
    <w:rsid w:val="00183489"/>
    <w:rsid w:val="0018579C"/>
    <w:rsid w:val="00194B6C"/>
    <w:rsid w:val="00197DCA"/>
    <w:rsid w:val="001B3B1F"/>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2F21B7"/>
    <w:rsid w:val="00303D42"/>
    <w:rsid w:val="00303DED"/>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45B6"/>
    <w:rsid w:val="00406094"/>
    <w:rsid w:val="00412D1B"/>
    <w:rsid w:val="004168B6"/>
    <w:rsid w:val="004231E8"/>
    <w:rsid w:val="00431645"/>
    <w:rsid w:val="00431C2B"/>
    <w:rsid w:val="00464787"/>
    <w:rsid w:val="00466C9F"/>
    <w:rsid w:val="00472D0E"/>
    <w:rsid w:val="00473681"/>
    <w:rsid w:val="00480D8F"/>
    <w:rsid w:val="004821A6"/>
    <w:rsid w:val="00484FF3"/>
    <w:rsid w:val="0048680C"/>
    <w:rsid w:val="00491199"/>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172A"/>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4506C"/>
    <w:rsid w:val="009561C3"/>
    <w:rsid w:val="00967480"/>
    <w:rsid w:val="00971D59"/>
    <w:rsid w:val="00981D1D"/>
    <w:rsid w:val="00982221"/>
    <w:rsid w:val="00984676"/>
    <w:rsid w:val="009850EE"/>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0939"/>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292D"/>
    <w:rsid w:val="00D66818"/>
    <w:rsid w:val="00D74829"/>
    <w:rsid w:val="00D93279"/>
    <w:rsid w:val="00DA33AF"/>
    <w:rsid w:val="00DB53B0"/>
    <w:rsid w:val="00DB5A17"/>
    <w:rsid w:val="00DC467C"/>
    <w:rsid w:val="00DC59B1"/>
    <w:rsid w:val="00DD3D5B"/>
    <w:rsid w:val="00DE0508"/>
    <w:rsid w:val="00DE697D"/>
    <w:rsid w:val="00DF4D1A"/>
    <w:rsid w:val="00DF65DF"/>
    <w:rsid w:val="00E15148"/>
    <w:rsid w:val="00E15F7F"/>
    <w:rsid w:val="00E16248"/>
    <w:rsid w:val="00E23606"/>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2C4"/>
    <w:rsid w:val="00F355F9"/>
    <w:rsid w:val="00F359CE"/>
    <w:rsid w:val="00F45499"/>
    <w:rsid w:val="00F46EFC"/>
    <w:rsid w:val="00F51DDD"/>
    <w:rsid w:val="00F5284F"/>
    <w:rsid w:val="00F54727"/>
    <w:rsid w:val="00F650F1"/>
    <w:rsid w:val="00F74148"/>
    <w:rsid w:val="00F8399F"/>
    <w:rsid w:val="00F8614A"/>
    <w:rsid w:val="00F9096B"/>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Mention">
    <w:name w:val="Mention"/>
    <w:basedOn w:val="DefaultParagraphFont"/>
    <w:uiPriority w:val="99"/>
    <w:semiHidden/>
    <w:unhideWhenUsed/>
    <w:rsid w:val="004911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3B8CDB2-5D83-463E-AB9D-5CCB917A6430}"/>
</file>

<file path=customXml/itemProps2.xml><?xml version="1.0" encoding="utf-8"?>
<ds:datastoreItem xmlns:ds="http://schemas.openxmlformats.org/officeDocument/2006/customXml" ds:itemID="{514CFFC0-A153-44C5-BF96-C15419E3796C}"/>
</file>

<file path=customXml/itemProps3.xml><?xml version="1.0" encoding="utf-8"?>
<ds:datastoreItem xmlns:ds="http://schemas.openxmlformats.org/officeDocument/2006/customXml" ds:itemID="{4D2BC57D-0A01-4EEA-9C94-9BC0D6BAF1AB}"/>
</file>

<file path=customXml/itemProps4.xml><?xml version="1.0" encoding="utf-8"?>
<ds:datastoreItem xmlns:ds="http://schemas.openxmlformats.org/officeDocument/2006/customXml" ds:itemID="{276ED83D-6340-4928-BBEA-4BE3C2643EBD}"/>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TotalTime>
  <Pages>2</Pages>
  <Words>573</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SAP Updated to Reflect 7/1/2015 through 6/30/2019 Time Contract Changes for Fraternal Order of Police, Lodge 85 (BU L4) – (DGS Only)</vt:lpstr>
    </vt:vector>
  </TitlesOfParts>
  <Company>Office of Administration</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7/1/2015 through 6/30/2019 Time Contract Changes for Fraternal Order of Police, Lodge 85 (BU L4) – (DGS Only)</dc:title>
  <dc:subject>Information regarding updates to SAP to reflect 7/1/2015 through 6/30/2019 time contract changes for Fraternal Order of Police, Lodge 85 (DGS Only)</dc:subject>
  <dc:creator>lcohrac</dc:creator>
  <cp:keywords>Description, Keywords, Operations, Personnel Administration</cp:keywords>
  <dc:description/>
  <cp:lastModifiedBy>Carroll, Theresa (OA)</cp:lastModifiedBy>
  <cp:revision>5</cp:revision>
  <cp:lastPrinted>2012-05-21T15:38:00Z</cp:lastPrinted>
  <dcterms:created xsi:type="dcterms:W3CDTF">2017-05-26T15:22:00Z</dcterms:created>
  <dcterms:modified xsi:type="dcterms:W3CDTF">2017-05-26T17:33:00Z</dcterms:modified>
  <cp:category>Time Alert</cp:category>
  <cp:contentStatus>2017-13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