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1B9C7" w14:textId="77777777" w:rsidR="00377242" w:rsidRPr="009C1B31" w:rsidRDefault="00377242">
      <w:pPr>
        <w:rPr>
          <w:rFonts w:ascii="Verdana" w:hAnsi="Verdana" w:cs="Arial"/>
          <w:b/>
          <w:bCs/>
          <w:sz w:val="20"/>
          <w:szCs w:val="20"/>
        </w:rPr>
      </w:pPr>
      <w:bookmarkStart w:id="0" w:name="_Hlk23331533"/>
      <w:bookmarkEnd w:id="0"/>
    </w:p>
    <w:p w14:paraId="44B0C94E" w14:textId="459AB13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 xml:space="preserve">Please distribute this alert to any users within your agency who </w:t>
      </w:r>
      <w:r w:rsidR="00187086">
        <w:rPr>
          <w:rFonts w:ascii="Verdana" w:hAnsi="Verdana" w:cs="Verdana"/>
          <w:b/>
          <w:bCs/>
          <w:i/>
          <w:iCs/>
          <w:sz w:val="20"/>
          <w:szCs w:val="20"/>
        </w:rPr>
        <w:t>use the</w:t>
      </w:r>
      <w:r w:rsidR="00BA1B41">
        <w:rPr>
          <w:rFonts w:ascii="Verdana" w:hAnsi="Verdana" w:cs="Verdana"/>
          <w:b/>
          <w:bCs/>
          <w:i/>
          <w:iCs/>
          <w:sz w:val="20"/>
          <w:szCs w:val="20"/>
        </w:rPr>
        <w:t xml:space="preserve"> NEOGOV</w:t>
      </w:r>
      <w:r w:rsidR="001B7158">
        <w:rPr>
          <w:rFonts w:ascii="Verdana" w:hAnsi="Verdana" w:cs="Verdana"/>
          <w:b/>
          <w:bCs/>
          <w:i/>
          <w:iCs/>
          <w:sz w:val="20"/>
          <w:szCs w:val="20"/>
        </w:rPr>
        <w:t>, Applicant Tracking Syste</w:t>
      </w:r>
      <w:r w:rsidR="00A0704D">
        <w:rPr>
          <w:rFonts w:ascii="Verdana" w:hAnsi="Verdana" w:cs="Verdana"/>
          <w:b/>
          <w:bCs/>
          <w:i/>
          <w:iCs/>
          <w:sz w:val="20"/>
          <w:szCs w:val="20"/>
        </w:rPr>
        <w:t>m</w:t>
      </w:r>
      <w:r w:rsidRPr="00472D0E">
        <w:rPr>
          <w:rFonts w:ascii="Verdana" w:hAnsi="Verdana" w:cs="Verdana"/>
          <w:b/>
          <w:bCs/>
          <w:i/>
          <w:iCs/>
          <w:sz w:val="20"/>
          <w:szCs w:val="20"/>
        </w:rPr>
        <w:t>.</w:t>
      </w:r>
    </w:p>
    <w:p w14:paraId="4D279026" w14:textId="77777777" w:rsidR="00472D0E" w:rsidRDefault="00472D0E" w:rsidP="00C13502">
      <w:pPr>
        <w:rPr>
          <w:rFonts w:ascii="Verdana" w:hAnsi="Verdana" w:cs="Verdana"/>
          <w:b/>
          <w:sz w:val="20"/>
          <w:szCs w:val="20"/>
        </w:rPr>
      </w:pPr>
    </w:p>
    <w:p w14:paraId="01D1E158" w14:textId="77777777" w:rsidR="00472D0E" w:rsidRDefault="00472D0E" w:rsidP="00C13502">
      <w:pPr>
        <w:rPr>
          <w:rFonts w:ascii="Verdana" w:hAnsi="Verdana" w:cs="Verdana"/>
          <w:b/>
          <w:sz w:val="20"/>
          <w:szCs w:val="20"/>
        </w:rPr>
      </w:pPr>
    </w:p>
    <w:p w14:paraId="6BBE90C8" w14:textId="0FE08DC8" w:rsidR="00377242" w:rsidRPr="009C625C" w:rsidRDefault="00083A8A" w:rsidP="00C13502">
      <w:pPr>
        <w:rPr>
          <w:rFonts w:ascii="Verdana" w:hAnsi="Verdana" w:cs="Verdana"/>
          <w:b/>
          <w:sz w:val="20"/>
          <w:szCs w:val="20"/>
        </w:rPr>
      </w:pPr>
      <w:sdt>
        <w:sdtPr>
          <w:rPr>
            <w:rFonts w:ascii="Verdana" w:hAnsi="Verdana" w:cs="Verdana"/>
            <w:b/>
            <w:sz w:val="20"/>
            <w:szCs w:val="20"/>
          </w:rPr>
          <w:alias w:val="Title"/>
          <w:id w:val="1612978"/>
          <w:placeholder>
            <w:docPart w:val="D32262C9143742D5B8A5A8F68625311C"/>
          </w:placeholder>
          <w:dataBinding w:prefixMappings="xmlns:ns0='http://purl.org/dc/elements/1.1/' xmlns:ns1='http://schemas.openxmlformats.org/package/2006/metadata/core-properties' " w:xpath="/ns1:coreProperties[1]/ns0:title[1]" w:storeItemID="{6C3C8BC8-F283-45AE-878A-BAB7291924A1}"/>
          <w:text/>
        </w:sdtPr>
        <w:sdtEndPr/>
        <w:sdtContent>
          <w:r w:rsidR="00A0704D">
            <w:rPr>
              <w:rFonts w:ascii="Verdana" w:hAnsi="Verdana" w:cs="Verdana"/>
              <w:b/>
              <w:sz w:val="20"/>
              <w:szCs w:val="20"/>
            </w:rPr>
            <w:t>November 2020</w:t>
          </w:r>
          <w:r w:rsidR="0085131F">
            <w:rPr>
              <w:rFonts w:ascii="Verdana" w:hAnsi="Verdana" w:cs="Verdana"/>
              <w:b/>
              <w:sz w:val="20"/>
              <w:szCs w:val="20"/>
            </w:rPr>
            <w:t xml:space="preserve"> NEOGOV Enhancements</w:t>
          </w:r>
        </w:sdtContent>
      </w:sdt>
    </w:p>
    <w:p w14:paraId="08C5421F" w14:textId="77777777" w:rsidR="00685856" w:rsidRPr="009C625C" w:rsidRDefault="00685856" w:rsidP="00C13502">
      <w:pPr>
        <w:rPr>
          <w:rFonts w:ascii="Verdana" w:hAnsi="Verdana" w:cs="Verdana"/>
          <w:b/>
          <w:sz w:val="20"/>
          <w:szCs w:val="20"/>
        </w:rPr>
      </w:pPr>
    </w:p>
    <w:p w14:paraId="39899568" w14:textId="382F728C" w:rsidR="007E7061" w:rsidRDefault="00083A8A" w:rsidP="00A0704D">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D1DBB4FE9B6345BB8ED9EA40577CFE92"/>
          </w:placeholder>
          <w:dataBinding w:prefixMappings="xmlns:ns0='http://purl.org/dc/elements/1.1/' xmlns:ns1='http://schemas.openxmlformats.org/package/2006/metadata/core-properties' " w:xpath="/ns1:coreProperties[1]/ns0:subject[1]" w:storeItemID="{6C3C8BC8-F283-45AE-878A-BAB7291924A1}"/>
          <w:text/>
        </w:sdtPr>
        <w:sdtEndPr/>
        <w:sdtContent>
          <w:r w:rsidR="002B0550" w:rsidRPr="00401497">
            <w:rPr>
              <w:rFonts w:ascii="Verdana" w:hAnsi="Verdana" w:cs="Verdana"/>
              <w:sz w:val="20"/>
              <w:szCs w:val="20"/>
            </w:rPr>
            <w:t>Information regarding the</w:t>
          </w:r>
          <w:r w:rsidR="002B0550">
            <w:rPr>
              <w:rFonts w:ascii="Verdana" w:hAnsi="Verdana" w:cs="Verdana"/>
              <w:sz w:val="20"/>
              <w:szCs w:val="20"/>
            </w:rPr>
            <w:t xml:space="preserve"> November</w:t>
          </w:r>
          <w:r w:rsidR="002B0550" w:rsidRPr="00401497">
            <w:rPr>
              <w:rFonts w:ascii="Verdana" w:hAnsi="Verdana" w:cs="Verdana"/>
              <w:sz w:val="20"/>
              <w:szCs w:val="20"/>
            </w:rPr>
            <w:t xml:space="preserve"> 2020 release of enhancements to the NEOGOV Applicant Tracking System</w:t>
          </w:r>
          <w:r w:rsidR="002B0550">
            <w:rPr>
              <w:rFonts w:ascii="Verdana" w:hAnsi="Verdana" w:cs="Verdana"/>
              <w:sz w:val="20"/>
              <w:szCs w:val="20"/>
            </w:rPr>
            <w:t>.</w:t>
          </w:r>
        </w:sdtContent>
      </w:sdt>
    </w:p>
    <w:p w14:paraId="6B204C17" w14:textId="7BDF69C5" w:rsidR="0037210D" w:rsidRDefault="0037210D" w:rsidP="000A0C88">
      <w:pPr>
        <w:rPr>
          <w:rFonts w:ascii="Verdana" w:hAnsi="Verdana" w:cs="Verdana"/>
          <w:sz w:val="20"/>
          <w:szCs w:val="20"/>
        </w:rPr>
      </w:pPr>
    </w:p>
    <w:p w14:paraId="44E9B1AA" w14:textId="77777777" w:rsidR="0085131F" w:rsidRDefault="0085131F" w:rsidP="000A0C88">
      <w:pPr>
        <w:rPr>
          <w:rFonts w:ascii="Verdana" w:hAnsi="Verdana" w:cs="Verdana"/>
          <w:sz w:val="20"/>
          <w:szCs w:val="20"/>
        </w:rPr>
      </w:pPr>
    </w:p>
    <w:p w14:paraId="60A8A0DB" w14:textId="70AEF582" w:rsidR="0085131F" w:rsidRDefault="0085131F" w:rsidP="0085131F">
      <w:pPr>
        <w:rPr>
          <w:rFonts w:ascii="Verdana" w:hAnsi="Verdana" w:cs="Verdana"/>
          <w:sz w:val="20"/>
          <w:szCs w:val="20"/>
        </w:rPr>
      </w:pPr>
      <w:r>
        <w:rPr>
          <w:rFonts w:ascii="Verdana" w:hAnsi="Verdana" w:cs="Verdana"/>
          <w:sz w:val="20"/>
          <w:szCs w:val="20"/>
        </w:rPr>
        <w:t xml:space="preserve">The following enhancements were released to Insight, OHC and </w:t>
      </w:r>
      <w:r w:rsidR="00A2704B">
        <w:rPr>
          <w:rFonts w:ascii="Verdana" w:hAnsi="Verdana" w:cs="Verdana"/>
          <w:sz w:val="20"/>
          <w:szCs w:val="20"/>
        </w:rPr>
        <w:t xml:space="preserve">Career Pages </w:t>
      </w:r>
      <w:r>
        <w:rPr>
          <w:rFonts w:ascii="Verdana" w:hAnsi="Verdana" w:cs="Verdana"/>
          <w:sz w:val="20"/>
          <w:szCs w:val="20"/>
        </w:rPr>
        <w:t xml:space="preserve">in November 2020 and are </w:t>
      </w:r>
      <w:r w:rsidR="007118A9">
        <w:rPr>
          <w:rFonts w:ascii="Verdana" w:hAnsi="Verdana" w:cs="Verdana"/>
          <w:sz w:val="20"/>
          <w:szCs w:val="20"/>
        </w:rPr>
        <w:t xml:space="preserve">now </w:t>
      </w:r>
      <w:r>
        <w:rPr>
          <w:rFonts w:ascii="Verdana" w:hAnsi="Verdana" w:cs="Verdana"/>
          <w:sz w:val="20"/>
          <w:szCs w:val="20"/>
        </w:rPr>
        <w:t>available to all users and applicants:</w:t>
      </w:r>
    </w:p>
    <w:p w14:paraId="12EC4C94" w14:textId="77777777" w:rsidR="002B0550" w:rsidRDefault="002B0550" w:rsidP="003847D5">
      <w:pPr>
        <w:rPr>
          <w:rFonts w:ascii="Verdana" w:hAnsi="Verdana" w:cs="Verdana"/>
          <w:sz w:val="20"/>
          <w:szCs w:val="20"/>
        </w:rPr>
      </w:pPr>
    </w:p>
    <w:p w14:paraId="7D0502CA" w14:textId="2DAC66BF" w:rsidR="00E77E89" w:rsidRDefault="0085131F" w:rsidP="009C625C">
      <w:pPr>
        <w:rPr>
          <w:rFonts w:ascii="Verdana" w:hAnsi="Verdana" w:cs="Verdana"/>
          <w:b/>
          <w:sz w:val="20"/>
          <w:szCs w:val="20"/>
        </w:rPr>
      </w:pPr>
      <w:r w:rsidRPr="0085131F">
        <w:rPr>
          <w:rFonts w:ascii="Verdana" w:hAnsi="Verdana" w:cs="Verdana"/>
          <w:b/>
          <w:sz w:val="20"/>
          <w:szCs w:val="20"/>
        </w:rPr>
        <w:t>OHC: View Job Specs</w:t>
      </w:r>
    </w:p>
    <w:p w14:paraId="223B46D4" w14:textId="644A7AB1" w:rsidR="007118A9" w:rsidRDefault="00BC74AB" w:rsidP="009C625C">
      <w:pPr>
        <w:rPr>
          <w:rFonts w:ascii="Verdana" w:hAnsi="Verdana" w:cs="Verdana"/>
          <w:b/>
          <w:sz w:val="20"/>
          <w:szCs w:val="20"/>
        </w:rPr>
      </w:pPr>
      <w:r>
        <w:rPr>
          <w:rFonts w:ascii="Verdana" w:hAnsi="Verdana" w:cs="Verdana"/>
          <w:bCs/>
          <w:sz w:val="20"/>
          <w:szCs w:val="20"/>
        </w:rPr>
        <w:t>OHC u</w:t>
      </w:r>
      <w:r w:rsidR="007118A9" w:rsidRPr="007118A9">
        <w:rPr>
          <w:rFonts w:ascii="Verdana" w:hAnsi="Verdana" w:cs="Verdana"/>
          <w:bCs/>
          <w:sz w:val="20"/>
          <w:szCs w:val="20"/>
        </w:rPr>
        <w:t xml:space="preserve">sers </w:t>
      </w:r>
      <w:r w:rsidR="007118A9">
        <w:rPr>
          <w:rFonts w:ascii="Verdana" w:hAnsi="Verdana" w:cs="Verdana"/>
          <w:bCs/>
          <w:sz w:val="20"/>
          <w:szCs w:val="20"/>
        </w:rPr>
        <w:t>can</w:t>
      </w:r>
      <w:r w:rsidR="00672805">
        <w:rPr>
          <w:rFonts w:ascii="Verdana" w:hAnsi="Verdana" w:cs="Verdana"/>
          <w:bCs/>
          <w:sz w:val="20"/>
          <w:szCs w:val="20"/>
        </w:rPr>
        <w:t xml:space="preserve"> now</w:t>
      </w:r>
      <w:r w:rsidR="007118A9" w:rsidRPr="007118A9">
        <w:rPr>
          <w:rFonts w:ascii="Verdana" w:hAnsi="Verdana" w:cs="Verdana"/>
          <w:bCs/>
          <w:sz w:val="20"/>
          <w:szCs w:val="20"/>
        </w:rPr>
        <w:t xml:space="preserve"> view </w:t>
      </w:r>
      <w:r w:rsidR="007118A9">
        <w:rPr>
          <w:rFonts w:ascii="Verdana" w:hAnsi="Verdana" w:cs="Verdana"/>
          <w:bCs/>
          <w:sz w:val="20"/>
          <w:szCs w:val="20"/>
        </w:rPr>
        <w:t xml:space="preserve">all </w:t>
      </w:r>
      <w:r w:rsidR="007118A9" w:rsidRPr="007118A9">
        <w:rPr>
          <w:rFonts w:ascii="Verdana" w:hAnsi="Verdana" w:cs="Verdana"/>
          <w:bCs/>
          <w:sz w:val="20"/>
          <w:szCs w:val="20"/>
        </w:rPr>
        <w:t>Job Specs</w:t>
      </w:r>
      <w:r w:rsidR="007118A9">
        <w:rPr>
          <w:rFonts w:ascii="Verdana" w:hAnsi="Verdana" w:cs="Verdana"/>
          <w:bCs/>
          <w:sz w:val="20"/>
          <w:szCs w:val="20"/>
        </w:rPr>
        <w:t xml:space="preserve"> and </w:t>
      </w:r>
      <w:r w:rsidR="00672805">
        <w:rPr>
          <w:rFonts w:ascii="Verdana" w:hAnsi="Verdana" w:cs="Verdana"/>
          <w:bCs/>
          <w:sz w:val="20"/>
          <w:szCs w:val="20"/>
        </w:rPr>
        <w:t xml:space="preserve">related </w:t>
      </w:r>
      <w:r w:rsidR="007118A9">
        <w:rPr>
          <w:rFonts w:ascii="Verdana" w:hAnsi="Verdana" w:cs="Verdana"/>
          <w:bCs/>
          <w:sz w:val="20"/>
          <w:szCs w:val="20"/>
        </w:rPr>
        <w:t>details</w:t>
      </w:r>
      <w:r>
        <w:rPr>
          <w:rFonts w:ascii="Verdana" w:hAnsi="Verdana" w:cs="Verdana"/>
          <w:bCs/>
          <w:sz w:val="20"/>
          <w:szCs w:val="20"/>
        </w:rPr>
        <w:t xml:space="preserve"> by selecting “</w:t>
      </w:r>
      <w:r w:rsidRPr="007118A9">
        <w:rPr>
          <w:rFonts w:ascii="Verdana" w:hAnsi="Verdana" w:cs="Verdana"/>
          <w:bCs/>
          <w:sz w:val="20"/>
          <w:szCs w:val="20"/>
        </w:rPr>
        <w:t>Job Specs</w:t>
      </w:r>
      <w:r>
        <w:rPr>
          <w:rFonts w:ascii="Verdana" w:hAnsi="Verdana" w:cs="Verdana"/>
          <w:bCs/>
          <w:sz w:val="20"/>
          <w:szCs w:val="20"/>
        </w:rPr>
        <w:t>”</w:t>
      </w:r>
      <w:r w:rsidRPr="007118A9">
        <w:rPr>
          <w:rFonts w:ascii="Verdana" w:hAnsi="Verdana" w:cs="Verdana"/>
          <w:bCs/>
          <w:sz w:val="20"/>
          <w:szCs w:val="20"/>
        </w:rPr>
        <w:t xml:space="preserve"> from the “Jobs” dropdown</w:t>
      </w:r>
      <w:r w:rsidR="007118A9" w:rsidRPr="007118A9">
        <w:rPr>
          <w:rFonts w:ascii="Verdana" w:hAnsi="Verdana" w:cs="Verdana"/>
          <w:bCs/>
          <w:sz w:val="20"/>
          <w:szCs w:val="20"/>
        </w:rPr>
        <w:t xml:space="preserve"> within the Online Hiring Center (OHC). </w:t>
      </w:r>
    </w:p>
    <w:p w14:paraId="71B6BCC9" w14:textId="77777777" w:rsidR="007118A9" w:rsidRDefault="007118A9" w:rsidP="009C625C">
      <w:pPr>
        <w:rPr>
          <w:rFonts w:ascii="Verdana" w:hAnsi="Verdana" w:cs="Verdana"/>
          <w:b/>
          <w:sz w:val="20"/>
          <w:szCs w:val="20"/>
        </w:rPr>
      </w:pPr>
    </w:p>
    <w:p w14:paraId="7FC6ED85" w14:textId="14EBAF14" w:rsidR="0085131F" w:rsidRPr="0085131F" w:rsidRDefault="0085131F" w:rsidP="00451F7B">
      <w:pPr>
        <w:tabs>
          <w:tab w:val="left" w:pos="9270"/>
          <w:tab w:val="left" w:pos="9360"/>
          <w:tab w:val="left" w:pos="9720"/>
        </w:tabs>
        <w:jc w:val="center"/>
        <w:rPr>
          <w:rFonts w:ascii="Verdana" w:hAnsi="Verdana" w:cs="Verdana"/>
          <w:b/>
          <w:sz w:val="20"/>
          <w:szCs w:val="20"/>
        </w:rPr>
      </w:pPr>
      <w:r w:rsidRPr="0085131F">
        <w:rPr>
          <w:rFonts w:ascii="Verdana" w:hAnsi="Verdana" w:cs="Verdana"/>
          <w:b/>
          <w:noProof/>
          <w:sz w:val="20"/>
          <w:szCs w:val="20"/>
        </w:rPr>
        <w:drawing>
          <wp:inline distT="0" distB="0" distL="0" distR="0" wp14:anchorId="30A8576D" wp14:editId="075E2BF1">
            <wp:extent cx="5514975" cy="1831760"/>
            <wp:effectExtent l="19050" t="19050" r="9525"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66231" cy="1881999"/>
                    </a:xfrm>
                    <a:prstGeom prst="rect">
                      <a:avLst/>
                    </a:prstGeom>
                    <a:ln>
                      <a:solidFill>
                        <a:schemeClr val="tx1"/>
                      </a:solidFill>
                    </a:ln>
                  </pic:spPr>
                </pic:pic>
              </a:graphicData>
            </a:graphic>
          </wp:inline>
        </w:drawing>
      </w:r>
    </w:p>
    <w:p w14:paraId="3EB2CA8B" w14:textId="7C0459DB" w:rsidR="00E77E89" w:rsidRDefault="00E77E89" w:rsidP="009C625C">
      <w:pPr>
        <w:rPr>
          <w:rFonts w:ascii="Verdana" w:hAnsi="Verdana" w:cs="Verdana"/>
          <w:bCs/>
          <w:sz w:val="20"/>
          <w:szCs w:val="20"/>
        </w:rPr>
      </w:pPr>
    </w:p>
    <w:p w14:paraId="4DF820C4" w14:textId="4A7ED90D" w:rsidR="0085131F" w:rsidRDefault="0085131F" w:rsidP="00451F7B">
      <w:pPr>
        <w:tabs>
          <w:tab w:val="left" w:pos="900"/>
          <w:tab w:val="left" w:pos="9360"/>
          <w:tab w:val="left" w:pos="9720"/>
        </w:tabs>
        <w:jc w:val="center"/>
        <w:rPr>
          <w:rFonts w:ascii="Verdana" w:hAnsi="Verdana" w:cs="Verdana"/>
          <w:bCs/>
          <w:sz w:val="20"/>
          <w:szCs w:val="20"/>
        </w:rPr>
      </w:pPr>
      <w:r w:rsidRPr="0085131F">
        <w:rPr>
          <w:rFonts w:ascii="Verdana" w:hAnsi="Verdana" w:cs="Verdana"/>
          <w:bCs/>
          <w:noProof/>
          <w:sz w:val="20"/>
          <w:szCs w:val="20"/>
        </w:rPr>
        <w:drawing>
          <wp:inline distT="0" distB="0" distL="0" distR="0" wp14:anchorId="7F599246" wp14:editId="778C11F0">
            <wp:extent cx="5562600" cy="2009821"/>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17191" cy="2065676"/>
                    </a:xfrm>
                    <a:prstGeom prst="rect">
                      <a:avLst/>
                    </a:prstGeom>
                    <a:ln>
                      <a:solidFill>
                        <a:schemeClr val="tx1"/>
                      </a:solidFill>
                    </a:ln>
                  </pic:spPr>
                </pic:pic>
              </a:graphicData>
            </a:graphic>
          </wp:inline>
        </w:drawing>
      </w:r>
    </w:p>
    <w:p w14:paraId="7A8A6C9F" w14:textId="44B6F1D8" w:rsidR="0085131F" w:rsidRDefault="0085131F" w:rsidP="009C625C">
      <w:pPr>
        <w:rPr>
          <w:rFonts w:ascii="Verdana" w:hAnsi="Verdana" w:cs="Verdana"/>
          <w:bCs/>
          <w:sz w:val="20"/>
          <w:szCs w:val="20"/>
        </w:rPr>
      </w:pPr>
    </w:p>
    <w:p w14:paraId="723F296D" w14:textId="73CA3235" w:rsidR="0085131F" w:rsidRDefault="0085131F" w:rsidP="009C625C">
      <w:pPr>
        <w:rPr>
          <w:rFonts w:ascii="Verdana" w:hAnsi="Verdana" w:cs="Verdana"/>
          <w:bCs/>
          <w:sz w:val="20"/>
          <w:szCs w:val="20"/>
        </w:rPr>
      </w:pPr>
    </w:p>
    <w:p w14:paraId="2EF51FCE" w14:textId="0CD1E1C1" w:rsidR="007118A9" w:rsidRDefault="007118A9" w:rsidP="009C625C">
      <w:pPr>
        <w:rPr>
          <w:rFonts w:ascii="Verdana" w:hAnsi="Verdana" w:cs="Verdana"/>
          <w:bCs/>
          <w:sz w:val="20"/>
          <w:szCs w:val="20"/>
        </w:rPr>
      </w:pPr>
    </w:p>
    <w:p w14:paraId="6ACE5A44" w14:textId="0969C28A" w:rsidR="007118A9" w:rsidRDefault="007118A9" w:rsidP="009C625C">
      <w:pPr>
        <w:rPr>
          <w:rFonts w:ascii="Verdana" w:hAnsi="Verdana" w:cs="Verdana"/>
          <w:bCs/>
          <w:sz w:val="20"/>
          <w:szCs w:val="20"/>
        </w:rPr>
      </w:pPr>
    </w:p>
    <w:p w14:paraId="3958E7E6" w14:textId="22C52C23" w:rsidR="007118A9" w:rsidRDefault="007118A9" w:rsidP="009C625C">
      <w:pPr>
        <w:rPr>
          <w:rFonts w:ascii="Verdana" w:hAnsi="Verdana" w:cs="Verdana"/>
          <w:bCs/>
          <w:sz w:val="20"/>
          <w:szCs w:val="20"/>
        </w:rPr>
      </w:pPr>
    </w:p>
    <w:p w14:paraId="013AFC6E" w14:textId="4EF2C6E6" w:rsidR="007118A9" w:rsidRDefault="007118A9" w:rsidP="009C625C">
      <w:pPr>
        <w:rPr>
          <w:rFonts w:ascii="Verdana" w:hAnsi="Verdana" w:cs="Verdana"/>
          <w:bCs/>
          <w:sz w:val="20"/>
          <w:szCs w:val="20"/>
        </w:rPr>
      </w:pPr>
    </w:p>
    <w:p w14:paraId="52C55593" w14:textId="0F4A33C3" w:rsidR="007118A9" w:rsidRDefault="007118A9" w:rsidP="009C625C">
      <w:pPr>
        <w:rPr>
          <w:rFonts w:ascii="Verdana" w:hAnsi="Verdana" w:cs="Verdana"/>
          <w:bCs/>
          <w:sz w:val="20"/>
          <w:szCs w:val="20"/>
        </w:rPr>
      </w:pPr>
    </w:p>
    <w:p w14:paraId="3AFE2006" w14:textId="77777777" w:rsidR="007118A9" w:rsidRDefault="007118A9" w:rsidP="009C625C">
      <w:pPr>
        <w:rPr>
          <w:rFonts w:ascii="Verdana" w:hAnsi="Verdana" w:cs="Verdana"/>
          <w:bCs/>
          <w:sz w:val="20"/>
          <w:szCs w:val="20"/>
        </w:rPr>
      </w:pPr>
    </w:p>
    <w:p w14:paraId="3A286969" w14:textId="421F6603" w:rsidR="0085131F" w:rsidRDefault="0085131F" w:rsidP="009C625C">
      <w:pPr>
        <w:rPr>
          <w:rFonts w:ascii="Verdana" w:hAnsi="Verdana" w:cs="Verdana"/>
          <w:b/>
          <w:sz w:val="20"/>
          <w:szCs w:val="20"/>
        </w:rPr>
      </w:pPr>
      <w:r w:rsidRPr="00380C5D">
        <w:rPr>
          <w:rFonts w:ascii="Verdana" w:hAnsi="Verdana" w:cs="Verdana"/>
          <w:b/>
          <w:sz w:val="20"/>
          <w:szCs w:val="20"/>
        </w:rPr>
        <w:lastRenderedPageBreak/>
        <w:t>Insight: R</w:t>
      </w:r>
      <w:r w:rsidR="00380C5D" w:rsidRPr="00380C5D">
        <w:rPr>
          <w:rFonts w:ascii="Verdana" w:hAnsi="Verdana" w:cs="Verdana"/>
          <w:b/>
          <w:sz w:val="20"/>
          <w:szCs w:val="20"/>
        </w:rPr>
        <w:t>efer Candidates to Multiple Requisitions in Bulk</w:t>
      </w:r>
    </w:p>
    <w:p w14:paraId="49996724" w14:textId="30FE43D4" w:rsidR="007118A9" w:rsidRDefault="006F28B7" w:rsidP="009C625C">
      <w:pPr>
        <w:rPr>
          <w:rFonts w:ascii="Verdana" w:hAnsi="Verdana" w:cs="Verdana"/>
          <w:bCs/>
          <w:sz w:val="20"/>
          <w:szCs w:val="20"/>
        </w:rPr>
      </w:pPr>
      <w:r>
        <w:rPr>
          <w:rFonts w:ascii="Verdana" w:hAnsi="Verdana" w:cs="Verdana"/>
          <w:bCs/>
          <w:sz w:val="20"/>
          <w:szCs w:val="20"/>
        </w:rPr>
        <w:t>A new eligible list feature allows Insight Users to refer candidates to up to 10 requisitions at a time. Please keep in mind</w:t>
      </w:r>
      <w:r w:rsidR="00BC74AB">
        <w:rPr>
          <w:rFonts w:ascii="Verdana" w:hAnsi="Verdana" w:cs="Verdana"/>
          <w:bCs/>
          <w:sz w:val="20"/>
          <w:szCs w:val="20"/>
        </w:rPr>
        <w:t>,</w:t>
      </w:r>
      <w:r>
        <w:rPr>
          <w:rFonts w:ascii="Verdana" w:hAnsi="Verdana" w:cs="Verdana"/>
          <w:bCs/>
          <w:sz w:val="20"/>
          <w:szCs w:val="20"/>
        </w:rPr>
        <w:t xml:space="preserve"> requisitions must still be associated with the Exam Plan the candidate is being referred from in order for the requisition to appear as an option. </w:t>
      </w:r>
    </w:p>
    <w:p w14:paraId="27EDD159" w14:textId="69851C45" w:rsidR="006F28B7" w:rsidRDefault="006F28B7" w:rsidP="009C625C">
      <w:pPr>
        <w:rPr>
          <w:rFonts w:ascii="Verdana" w:hAnsi="Verdana" w:cs="Verdana"/>
          <w:bCs/>
          <w:sz w:val="20"/>
          <w:szCs w:val="20"/>
        </w:rPr>
      </w:pPr>
    </w:p>
    <w:p w14:paraId="36B11BE8" w14:textId="539F8F7E" w:rsidR="00380C5D" w:rsidRPr="00C0107F" w:rsidRDefault="006F28B7" w:rsidP="009C625C">
      <w:pPr>
        <w:rPr>
          <w:rFonts w:ascii="Verdana" w:hAnsi="Verdana" w:cs="Verdana"/>
          <w:bCs/>
          <w:sz w:val="20"/>
          <w:szCs w:val="20"/>
        </w:rPr>
      </w:pPr>
      <w:r>
        <w:rPr>
          <w:rFonts w:ascii="Verdana" w:hAnsi="Verdana" w:cs="Verdana"/>
          <w:bCs/>
          <w:sz w:val="20"/>
          <w:szCs w:val="20"/>
        </w:rPr>
        <w:t xml:space="preserve">The </w:t>
      </w:r>
      <w:r w:rsidR="00BC74AB">
        <w:rPr>
          <w:rFonts w:ascii="Verdana" w:hAnsi="Verdana" w:cs="Verdana"/>
          <w:bCs/>
          <w:sz w:val="20"/>
          <w:szCs w:val="20"/>
        </w:rPr>
        <w:t xml:space="preserve">Insight </w:t>
      </w:r>
      <w:r>
        <w:rPr>
          <w:rFonts w:ascii="Verdana" w:hAnsi="Verdana" w:cs="Verdana"/>
          <w:bCs/>
          <w:sz w:val="20"/>
          <w:szCs w:val="20"/>
        </w:rPr>
        <w:t>user will now select the checkbox next to the applicable requisition(s)</w:t>
      </w:r>
      <w:r w:rsidR="00BC74AB">
        <w:rPr>
          <w:rFonts w:ascii="Verdana" w:hAnsi="Verdana" w:cs="Verdana"/>
          <w:bCs/>
          <w:sz w:val="20"/>
          <w:szCs w:val="20"/>
        </w:rPr>
        <w:t>,</w:t>
      </w:r>
      <w:r>
        <w:rPr>
          <w:rFonts w:ascii="Verdana" w:hAnsi="Verdana" w:cs="Verdana"/>
          <w:bCs/>
          <w:sz w:val="20"/>
          <w:szCs w:val="20"/>
        </w:rPr>
        <w:t xml:space="preserve"> </w:t>
      </w:r>
      <w:r w:rsidR="005F3C1C">
        <w:rPr>
          <w:rFonts w:ascii="Verdana" w:hAnsi="Verdana" w:cs="Verdana"/>
          <w:bCs/>
          <w:sz w:val="20"/>
          <w:szCs w:val="20"/>
        </w:rPr>
        <w:t>or the “All Requisitions” option if the number of associated requisitions is 10 or less</w:t>
      </w:r>
      <w:r w:rsidR="00BC74AB">
        <w:rPr>
          <w:rFonts w:ascii="Verdana" w:hAnsi="Verdana" w:cs="Verdana"/>
          <w:bCs/>
          <w:sz w:val="20"/>
          <w:szCs w:val="20"/>
        </w:rPr>
        <w:t>,</w:t>
      </w:r>
      <w:r w:rsidR="005F3C1C">
        <w:rPr>
          <w:rFonts w:ascii="Verdana" w:hAnsi="Verdana" w:cs="Verdana"/>
          <w:bCs/>
          <w:sz w:val="20"/>
          <w:szCs w:val="20"/>
        </w:rPr>
        <w:t xml:space="preserve"> </w:t>
      </w:r>
      <w:r>
        <w:rPr>
          <w:rFonts w:ascii="Verdana" w:hAnsi="Verdana" w:cs="Verdana"/>
          <w:bCs/>
          <w:sz w:val="20"/>
          <w:szCs w:val="20"/>
        </w:rPr>
        <w:t>and then select the “Go” button.</w:t>
      </w:r>
      <w:r w:rsidR="005F3C1C">
        <w:rPr>
          <w:rFonts w:ascii="Verdana" w:hAnsi="Verdana" w:cs="Verdana"/>
          <w:bCs/>
          <w:sz w:val="20"/>
          <w:szCs w:val="20"/>
        </w:rPr>
        <w:t xml:space="preserve"> </w:t>
      </w:r>
      <w:r w:rsidR="00C0107F">
        <w:rPr>
          <w:rFonts w:ascii="Verdana" w:hAnsi="Verdana" w:cs="Verdana"/>
          <w:bCs/>
          <w:sz w:val="20"/>
          <w:szCs w:val="20"/>
        </w:rPr>
        <w:t>If multiple requisitions are chosen, t</w:t>
      </w:r>
      <w:r w:rsidR="005F3C1C">
        <w:rPr>
          <w:rFonts w:ascii="Verdana" w:hAnsi="Verdana" w:cs="Verdana"/>
          <w:bCs/>
          <w:sz w:val="20"/>
          <w:szCs w:val="20"/>
        </w:rPr>
        <w:t>he referral confirmation page that presents next will display each</w:t>
      </w:r>
      <w:r w:rsidR="00BC74AB">
        <w:rPr>
          <w:rFonts w:ascii="Verdana" w:hAnsi="Verdana" w:cs="Verdana"/>
          <w:bCs/>
          <w:sz w:val="20"/>
          <w:szCs w:val="20"/>
        </w:rPr>
        <w:t xml:space="preserve"> selected</w:t>
      </w:r>
      <w:r w:rsidR="005F3C1C">
        <w:rPr>
          <w:rFonts w:ascii="Verdana" w:hAnsi="Verdana" w:cs="Verdana"/>
          <w:bCs/>
          <w:sz w:val="20"/>
          <w:szCs w:val="20"/>
        </w:rPr>
        <w:t xml:space="preserve"> requisition </w:t>
      </w:r>
      <w:r w:rsidR="00C0107F">
        <w:rPr>
          <w:rFonts w:ascii="Verdana" w:hAnsi="Verdana" w:cs="Verdana"/>
          <w:bCs/>
          <w:sz w:val="20"/>
          <w:szCs w:val="20"/>
        </w:rPr>
        <w:t>and the</w:t>
      </w:r>
      <w:r w:rsidR="005F3C1C">
        <w:rPr>
          <w:rFonts w:ascii="Verdana" w:hAnsi="Verdana" w:cs="Verdana"/>
          <w:bCs/>
          <w:sz w:val="20"/>
          <w:szCs w:val="20"/>
        </w:rPr>
        <w:t xml:space="preserve"> </w:t>
      </w:r>
      <w:r w:rsidR="00C0107F">
        <w:rPr>
          <w:rFonts w:ascii="Verdana" w:hAnsi="Verdana" w:cs="Verdana"/>
          <w:bCs/>
          <w:sz w:val="20"/>
          <w:szCs w:val="20"/>
        </w:rPr>
        <w:t>list</w:t>
      </w:r>
      <w:r w:rsidR="002C44ED">
        <w:rPr>
          <w:rFonts w:ascii="Verdana" w:hAnsi="Verdana" w:cs="Verdana"/>
          <w:bCs/>
          <w:sz w:val="20"/>
          <w:szCs w:val="20"/>
        </w:rPr>
        <w:t>s</w:t>
      </w:r>
      <w:r w:rsidR="00C0107F">
        <w:rPr>
          <w:rFonts w:ascii="Verdana" w:hAnsi="Verdana" w:cs="Verdana"/>
          <w:bCs/>
          <w:sz w:val="20"/>
          <w:szCs w:val="20"/>
        </w:rPr>
        <w:t xml:space="preserve"> of</w:t>
      </w:r>
      <w:r w:rsidR="005F3C1C">
        <w:rPr>
          <w:rFonts w:ascii="Verdana" w:hAnsi="Verdana" w:cs="Verdana"/>
          <w:bCs/>
          <w:sz w:val="20"/>
          <w:szCs w:val="20"/>
        </w:rPr>
        <w:t xml:space="preserve"> candidates being referred.</w:t>
      </w:r>
      <w:r w:rsidR="00C0107F">
        <w:rPr>
          <w:rFonts w:ascii="Verdana" w:hAnsi="Verdana" w:cs="Verdana"/>
          <w:bCs/>
          <w:sz w:val="20"/>
          <w:szCs w:val="20"/>
        </w:rPr>
        <w:t xml:space="preserve"> Once the lists are confirmed, the user should select the “Refer” button to generate the referred list.</w:t>
      </w:r>
    </w:p>
    <w:p w14:paraId="6139EDAD" w14:textId="202ED7BE" w:rsidR="00380C5D" w:rsidRDefault="00380C5D" w:rsidP="009C625C">
      <w:pPr>
        <w:rPr>
          <w:rFonts w:ascii="Verdana" w:hAnsi="Verdana" w:cs="Verdana"/>
          <w:b/>
          <w:sz w:val="20"/>
          <w:szCs w:val="20"/>
        </w:rPr>
      </w:pPr>
    </w:p>
    <w:p w14:paraId="5D291D0F" w14:textId="065B5FCC" w:rsidR="005F3C1C" w:rsidRDefault="00C0107F" w:rsidP="00451F7B">
      <w:pPr>
        <w:tabs>
          <w:tab w:val="left" w:pos="9720"/>
        </w:tabs>
        <w:jc w:val="center"/>
        <w:rPr>
          <w:rFonts w:ascii="Verdana" w:hAnsi="Verdana" w:cs="Verdana"/>
          <w:b/>
          <w:sz w:val="20"/>
          <w:szCs w:val="20"/>
        </w:rPr>
      </w:pPr>
      <w:r w:rsidRPr="00380C5D">
        <w:rPr>
          <w:rFonts w:ascii="Verdana" w:hAnsi="Verdana" w:cs="Verdana"/>
          <w:b/>
          <w:noProof/>
          <w:sz w:val="20"/>
          <w:szCs w:val="20"/>
        </w:rPr>
        <w:drawing>
          <wp:inline distT="0" distB="0" distL="0" distR="0" wp14:anchorId="29E4C63D" wp14:editId="1EDF9AD1">
            <wp:extent cx="5448300" cy="877241"/>
            <wp:effectExtent l="19050" t="19050" r="1905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82029" cy="914874"/>
                    </a:xfrm>
                    <a:prstGeom prst="rect">
                      <a:avLst/>
                    </a:prstGeom>
                    <a:ln>
                      <a:solidFill>
                        <a:schemeClr val="tx1"/>
                      </a:solidFill>
                    </a:ln>
                  </pic:spPr>
                </pic:pic>
              </a:graphicData>
            </a:graphic>
          </wp:inline>
        </w:drawing>
      </w:r>
    </w:p>
    <w:p w14:paraId="7A76C2D0" w14:textId="77777777" w:rsidR="00C0107F" w:rsidRDefault="00C0107F" w:rsidP="009C625C">
      <w:pPr>
        <w:rPr>
          <w:rFonts w:ascii="Verdana" w:hAnsi="Verdana" w:cs="Verdana"/>
          <w:b/>
          <w:sz w:val="20"/>
          <w:szCs w:val="20"/>
        </w:rPr>
      </w:pPr>
    </w:p>
    <w:p w14:paraId="52EBE0AC" w14:textId="7088A726" w:rsidR="005F3C1C" w:rsidRDefault="005F3C1C" w:rsidP="00451F7B">
      <w:pPr>
        <w:tabs>
          <w:tab w:val="left" w:pos="9720"/>
        </w:tabs>
        <w:jc w:val="center"/>
        <w:rPr>
          <w:rFonts w:ascii="Verdana" w:hAnsi="Verdana" w:cs="Verdana"/>
          <w:b/>
          <w:sz w:val="20"/>
          <w:szCs w:val="20"/>
        </w:rPr>
      </w:pPr>
      <w:r w:rsidRPr="005F3C1C">
        <w:rPr>
          <w:rFonts w:ascii="Verdana" w:hAnsi="Verdana" w:cs="Verdana"/>
          <w:b/>
          <w:noProof/>
          <w:sz w:val="20"/>
          <w:szCs w:val="20"/>
        </w:rPr>
        <w:drawing>
          <wp:inline distT="0" distB="0" distL="0" distR="0" wp14:anchorId="7CDF141F" wp14:editId="6073262E">
            <wp:extent cx="5467350" cy="4421248"/>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32945" cy="4474293"/>
                    </a:xfrm>
                    <a:prstGeom prst="rect">
                      <a:avLst/>
                    </a:prstGeom>
                    <a:ln>
                      <a:solidFill>
                        <a:schemeClr val="tx1"/>
                      </a:solidFill>
                    </a:ln>
                  </pic:spPr>
                </pic:pic>
              </a:graphicData>
            </a:graphic>
          </wp:inline>
        </w:drawing>
      </w:r>
    </w:p>
    <w:p w14:paraId="458150A5" w14:textId="0CFF9CE4" w:rsidR="008848A0" w:rsidRDefault="008848A0" w:rsidP="008848A0">
      <w:pPr>
        <w:jc w:val="center"/>
        <w:rPr>
          <w:rFonts w:ascii="Verdana" w:hAnsi="Verdana" w:cs="Verdana"/>
          <w:b/>
          <w:sz w:val="20"/>
          <w:szCs w:val="20"/>
        </w:rPr>
      </w:pPr>
    </w:p>
    <w:p w14:paraId="45328D3A" w14:textId="3F60BEF7" w:rsidR="008848A0" w:rsidRDefault="008848A0" w:rsidP="008848A0">
      <w:pPr>
        <w:jc w:val="center"/>
        <w:rPr>
          <w:rFonts w:ascii="Verdana" w:hAnsi="Verdana" w:cs="Verdana"/>
          <w:b/>
          <w:sz w:val="20"/>
          <w:szCs w:val="20"/>
        </w:rPr>
      </w:pPr>
    </w:p>
    <w:p w14:paraId="7D8ADBD9" w14:textId="481F54FD" w:rsidR="008848A0" w:rsidRDefault="008848A0" w:rsidP="008848A0">
      <w:pPr>
        <w:jc w:val="center"/>
        <w:rPr>
          <w:rFonts w:ascii="Verdana" w:hAnsi="Verdana" w:cs="Verdana"/>
          <w:b/>
          <w:sz w:val="20"/>
          <w:szCs w:val="20"/>
        </w:rPr>
      </w:pPr>
    </w:p>
    <w:p w14:paraId="750C5815" w14:textId="759C063A" w:rsidR="00364317" w:rsidRDefault="00364317" w:rsidP="008848A0">
      <w:pPr>
        <w:jc w:val="center"/>
        <w:rPr>
          <w:rFonts w:ascii="Verdana" w:hAnsi="Verdana" w:cs="Verdana"/>
          <w:b/>
          <w:sz w:val="20"/>
          <w:szCs w:val="20"/>
        </w:rPr>
      </w:pPr>
    </w:p>
    <w:p w14:paraId="7DA7CEC9" w14:textId="29B4EEA1" w:rsidR="00364317" w:rsidRDefault="00364317" w:rsidP="008848A0">
      <w:pPr>
        <w:jc w:val="center"/>
        <w:rPr>
          <w:rFonts w:ascii="Verdana" w:hAnsi="Verdana" w:cs="Verdana"/>
          <w:b/>
          <w:sz w:val="20"/>
          <w:szCs w:val="20"/>
        </w:rPr>
      </w:pPr>
    </w:p>
    <w:p w14:paraId="1D3368D6" w14:textId="77777777" w:rsidR="00364317" w:rsidRDefault="00364317" w:rsidP="008848A0">
      <w:pPr>
        <w:jc w:val="center"/>
        <w:rPr>
          <w:rFonts w:ascii="Verdana" w:hAnsi="Verdana" w:cs="Verdana"/>
          <w:b/>
          <w:sz w:val="20"/>
          <w:szCs w:val="20"/>
        </w:rPr>
      </w:pPr>
    </w:p>
    <w:p w14:paraId="157A28F6" w14:textId="443DAA9D" w:rsidR="0085131F" w:rsidRDefault="00A2704B" w:rsidP="009C625C">
      <w:pPr>
        <w:rPr>
          <w:rFonts w:ascii="Verdana" w:hAnsi="Verdana" w:cs="Verdana"/>
          <w:b/>
          <w:sz w:val="20"/>
          <w:szCs w:val="20"/>
        </w:rPr>
      </w:pPr>
      <w:r w:rsidRPr="00A2704B">
        <w:rPr>
          <w:rFonts w:ascii="Verdana" w:hAnsi="Verdana" w:cs="Verdana"/>
          <w:b/>
          <w:sz w:val="20"/>
          <w:szCs w:val="20"/>
        </w:rPr>
        <w:lastRenderedPageBreak/>
        <w:t>Insight: Auto-Send Rejection Notices for Auto-Scored Evaluation Steps</w:t>
      </w:r>
    </w:p>
    <w:p w14:paraId="0CC71DB5" w14:textId="68053E7E" w:rsidR="00BC3E85" w:rsidRDefault="00BC3E85" w:rsidP="009C625C">
      <w:pPr>
        <w:rPr>
          <w:rFonts w:ascii="Verdana" w:hAnsi="Verdana" w:cs="Verdana"/>
          <w:bCs/>
          <w:sz w:val="20"/>
          <w:szCs w:val="20"/>
        </w:rPr>
      </w:pPr>
      <w:r w:rsidRPr="00BC3E85">
        <w:rPr>
          <w:rFonts w:ascii="Verdana" w:hAnsi="Verdana" w:cs="Verdana"/>
          <w:bCs/>
          <w:sz w:val="20"/>
          <w:szCs w:val="20"/>
        </w:rPr>
        <w:t xml:space="preserve">A new evaluation step feature </w:t>
      </w:r>
      <w:r>
        <w:rPr>
          <w:rFonts w:ascii="Verdana" w:hAnsi="Verdana" w:cs="Verdana"/>
          <w:bCs/>
          <w:sz w:val="20"/>
          <w:szCs w:val="20"/>
        </w:rPr>
        <w:t>allows Insight Users to automatically send notice templates to candidates who fail a scored Supplemental Questionnaire evaluation step.</w:t>
      </w:r>
      <w:r w:rsidR="000F2D64">
        <w:rPr>
          <w:rFonts w:ascii="Verdana" w:hAnsi="Verdana" w:cs="Verdana"/>
          <w:bCs/>
          <w:sz w:val="20"/>
          <w:szCs w:val="20"/>
        </w:rPr>
        <w:t xml:space="preserve"> As part of this feature, users can select which notice template they want applicants who fail the step to receive. Multiple notice templates cannot be selected. </w:t>
      </w:r>
      <w:r w:rsidR="00951C2D">
        <w:rPr>
          <w:rFonts w:ascii="Verdana" w:hAnsi="Verdana" w:cs="Verdana"/>
          <w:bCs/>
          <w:sz w:val="20"/>
          <w:szCs w:val="20"/>
        </w:rPr>
        <w:t xml:space="preserve"> </w:t>
      </w:r>
    </w:p>
    <w:p w14:paraId="764ADE27" w14:textId="3139874A" w:rsidR="00BC3E85" w:rsidRDefault="00BC3E85" w:rsidP="009C625C">
      <w:pPr>
        <w:rPr>
          <w:rFonts w:ascii="Verdana" w:hAnsi="Verdana" w:cs="Verdana"/>
          <w:bCs/>
          <w:sz w:val="20"/>
          <w:szCs w:val="20"/>
        </w:rPr>
      </w:pPr>
    </w:p>
    <w:p w14:paraId="0707E4F3" w14:textId="4BC1D3E1" w:rsidR="00BC3E85" w:rsidRDefault="00BC3E85" w:rsidP="009C625C">
      <w:pPr>
        <w:rPr>
          <w:rFonts w:ascii="Verdana" w:hAnsi="Verdana" w:cs="Verdana"/>
          <w:bCs/>
          <w:sz w:val="20"/>
          <w:szCs w:val="20"/>
        </w:rPr>
      </w:pPr>
      <w:r>
        <w:rPr>
          <w:rFonts w:ascii="Verdana" w:hAnsi="Verdana" w:cs="Verdana"/>
          <w:bCs/>
          <w:sz w:val="20"/>
          <w:szCs w:val="20"/>
        </w:rPr>
        <w:t xml:space="preserve">Please keep in mind this option will only enable when the </w:t>
      </w:r>
      <w:r w:rsidR="00ED4FAD">
        <w:rPr>
          <w:rFonts w:ascii="Verdana" w:hAnsi="Verdana" w:cs="Verdana"/>
          <w:bCs/>
          <w:sz w:val="20"/>
          <w:szCs w:val="20"/>
        </w:rPr>
        <w:t>s</w:t>
      </w:r>
      <w:r>
        <w:rPr>
          <w:rFonts w:ascii="Verdana" w:hAnsi="Verdana" w:cs="Verdana"/>
          <w:bCs/>
          <w:sz w:val="20"/>
          <w:szCs w:val="20"/>
        </w:rPr>
        <w:t xml:space="preserve">tep </w:t>
      </w:r>
      <w:r w:rsidR="00ED4FAD">
        <w:rPr>
          <w:rFonts w:ascii="Verdana" w:hAnsi="Verdana" w:cs="Verdana"/>
          <w:bCs/>
          <w:sz w:val="20"/>
          <w:szCs w:val="20"/>
        </w:rPr>
        <w:t>t</w:t>
      </w:r>
      <w:r>
        <w:rPr>
          <w:rFonts w:ascii="Verdana" w:hAnsi="Verdana" w:cs="Verdana"/>
          <w:bCs/>
          <w:sz w:val="20"/>
          <w:szCs w:val="20"/>
        </w:rPr>
        <w:t>ype is “</w:t>
      </w:r>
      <w:r w:rsidR="000F2D64">
        <w:rPr>
          <w:rFonts w:ascii="Verdana" w:hAnsi="Verdana" w:cs="Verdana"/>
          <w:bCs/>
          <w:sz w:val="20"/>
          <w:szCs w:val="20"/>
        </w:rPr>
        <w:t>Supplemental</w:t>
      </w:r>
      <w:r>
        <w:rPr>
          <w:rFonts w:ascii="Verdana" w:hAnsi="Verdana" w:cs="Verdana"/>
          <w:bCs/>
          <w:sz w:val="20"/>
          <w:szCs w:val="20"/>
        </w:rPr>
        <w:t xml:space="preserve"> Questionnaire” and </w:t>
      </w:r>
      <w:r w:rsidR="000F2D64">
        <w:rPr>
          <w:rFonts w:ascii="Verdana" w:hAnsi="Verdana" w:cs="Verdana"/>
          <w:bCs/>
          <w:sz w:val="20"/>
          <w:szCs w:val="20"/>
        </w:rPr>
        <w:t>the “</w:t>
      </w:r>
      <w:r>
        <w:rPr>
          <w:rFonts w:ascii="Verdana" w:hAnsi="Verdana" w:cs="Verdana"/>
          <w:bCs/>
          <w:sz w:val="20"/>
          <w:szCs w:val="20"/>
        </w:rPr>
        <w:t>Evaluate On</w:t>
      </w:r>
      <w:r w:rsidR="000F2D64">
        <w:rPr>
          <w:rFonts w:ascii="Verdana" w:hAnsi="Verdana" w:cs="Verdana"/>
          <w:bCs/>
          <w:sz w:val="20"/>
          <w:szCs w:val="20"/>
        </w:rPr>
        <w:t xml:space="preserve">” field is “Scored”. This feature will not be available </w:t>
      </w:r>
      <w:r w:rsidR="00ED4FAD">
        <w:rPr>
          <w:rFonts w:ascii="Verdana" w:hAnsi="Verdana" w:cs="Verdana"/>
          <w:bCs/>
          <w:sz w:val="20"/>
          <w:szCs w:val="20"/>
        </w:rPr>
        <w:t>for any other step type or when a</w:t>
      </w:r>
      <w:r w:rsidR="00C81315">
        <w:rPr>
          <w:rFonts w:ascii="Verdana" w:hAnsi="Verdana" w:cs="Verdana"/>
          <w:bCs/>
          <w:sz w:val="20"/>
          <w:szCs w:val="20"/>
        </w:rPr>
        <w:t xml:space="preserve"> Supplemental Questionnaire </w:t>
      </w:r>
      <w:r w:rsidR="00ED4FAD">
        <w:rPr>
          <w:rFonts w:ascii="Verdana" w:hAnsi="Verdana" w:cs="Verdana"/>
          <w:bCs/>
          <w:sz w:val="20"/>
          <w:szCs w:val="20"/>
        </w:rPr>
        <w:t xml:space="preserve">evaluation step is pass/fail. </w:t>
      </w:r>
    </w:p>
    <w:p w14:paraId="65EA3654" w14:textId="65331B51" w:rsidR="005033C8" w:rsidRDefault="005033C8" w:rsidP="009C625C">
      <w:pPr>
        <w:rPr>
          <w:rFonts w:ascii="Verdana" w:hAnsi="Verdana" w:cs="Verdana"/>
          <w:bCs/>
          <w:sz w:val="20"/>
          <w:szCs w:val="20"/>
        </w:rPr>
      </w:pPr>
    </w:p>
    <w:p w14:paraId="74ABD45B" w14:textId="02AB2322" w:rsidR="005033C8" w:rsidRPr="008848A0" w:rsidRDefault="005033C8" w:rsidP="009C625C">
      <w:pPr>
        <w:rPr>
          <w:rFonts w:ascii="Verdana" w:hAnsi="Verdana" w:cs="Verdana"/>
          <w:b/>
          <w:sz w:val="20"/>
          <w:szCs w:val="20"/>
        </w:rPr>
      </w:pPr>
      <w:r w:rsidRPr="008848A0">
        <w:rPr>
          <w:rFonts w:ascii="Verdana" w:hAnsi="Verdana" w:cs="Verdana"/>
          <w:b/>
          <w:sz w:val="20"/>
          <w:szCs w:val="20"/>
        </w:rPr>
        <w:t>N</w:t>
      </w:r>
      <w:r w:rsidR="008848A0" w:rsidRPr="008848A0">
        <w:rPr>
          <w:rFonts w:ascii="Verdana" w:hAnsi="Verdana" w:cs="Verdana"/>
          <w:b/>
          <w:sz w:val="20"/>
          <w:szCs w:val="20"/>
        </w:rPr>
        <w:t>OTE:</w:t>
      </w:r>
      <w:r w:rsidR="00F16531">
        <w:rPr>
          <w:rFonts w:ascii="Verdana" w:hAnsi="Verdana" w:cs="Verdana"/>
          <w:b/>
          <w:sz w:val="20"/>
          <w:szCs w:val="20"/>
        </w:rPr>
        <w:t xml:space="preserve"> </w:t>
      </w:r>
      <w:r w:rsidR="00F16531">
        <w:rPr>
          <w:rFonts w:ascii="Verdana" w:hAnsi="Verdana" w:cs="Verdana"/>
          <w:bCs/>
          <w:sz w:val="20"/>
          <w:szCs w:val="20"/>
        </w:rPr>
        <w:t>Users should</w:t>
      </w:r>
      <w:r w:rsidR="00CB3DD3">
        <w:rPr>
          <w:rFonts w:ascii="Verdana" w:hAnsi="Verdana" w:cs="Verdana"/>
          <w:bCs/>
          <w:sz w:val="20"/>
          <w:szCs w:val="20"/>
        </w:rPr>
        <w:t xml:space="preserve"> </w:t>
      </w:r>
      <w:r w:rsidR="00CB3DD3" w:rsidRPr="00CB3DD3">
        <w:rPr>
          <w:rFonts w:ascii="Verdana" w:hAnsi="Verdana" w:cs="Verdana"/>
          <w:b/>
          <w:sz w:val="20"/>
          <w:szCs w:val="20"/>
          <w:u w:val="single"/>
        </w:rPr>
        <w:t>NOT</w:t>
      </w:r>
      <w:r w:rsidR="00F16531">
        <w:rPr>
          <w:rFonts w:ascii="Verdana" w:hAnsi="Verdana" w:cs="Verdana"/>
          <w:bCs/>
          <w:sz w:val="20"/>
          <w:szCs w:val="20"/>
        </w:rPr>
        <w:t xml:space="preserve"> </w:t>
      </w:r>
      <w:r w:rsidR="00CB3DD3">
        <w:rPr>
          <w:rFonts w:ascii="Verdana" w:hAnsi="Verdana" w:cs="Verdana"/>
          <w:bCs/>
          <w:sz w:val="20"/>
          <w:szCs w:val="20"/>
        </w:rPr>
        <w:t xml:space="preserve">enable this feature and leave the default setting to “No” when configuring a scored Supplemental Questionnaire evaluation step. Users should </w:t>
      </w:r>
      <w:r w:rsidR="00F16531">
        <w:rPr>
          <w:rFonts w:ascii="Verdana" w:hAnsi="Verdana" w:cs="Verdana"/>
          <w:bCs/>
          <w:sz w:val="20"/>
          <w:szCs w:val="20"/>
        </w:rPr>
        <w:t>continue to manually generate notices</w:t>
      </w:r>
      <w:r w:rsidR="00E736B9">
        <w:rPr>
          <w:rFonts w:ascii="Verdana" w:hAnsi="Verdana" w:cs="Verdana"/>
          <w:bCs/>
          <w:sz w:val="20"/>
          <w:szCs w:val="20"/>
        </w:rPr>
        <w:t xml:space="preserve"> since in most cases</w:t>
      </w:r>
      <w:r w:rsidR="00F16531">
        <w:rPr>
          <w:rFonts w:ascii="Verdana" w:hAnsi="Verdana" w:cs="Verdana"/>
          <w:bCs/>
          <w:sz w:val="20"/>
          <w:szCs w:val="20"/>
        </w:rPr>
        <w:t xml:space="preserve"> different notice templates are used to inform candidates of their specific reason for failure.</w:t>
      </w:r>
    </w:p>
    <w:p w14:paraId="0F13C44C" w14:textId="045E4BFD" w:rsidR="00BC3E85" w:rsidRDefault="00BC3E85" w:rsidP="009C625C">
      <w:pPr>
        <w:rPr>
          <w:rFonts w:ascii="Verdana" w:hAnsi="Verdana" w:cs="Verdana"/>
          <w:b/>
          <w:sz w:val="20"/>
          <w:szCs w:val="20"/>
        </w:rPr>
      </w:pPr>
    </w:p>
    <w:p w14:paraId="3095DB1D" w14:textId="289DF916" w:rsidR="00BC3E85" w:rsidRDefault="00BC3E85" w:rsidP="008848A0">
      <w:pPr>
        <w:jc w:val="center"/>
        <w:rPr>
          <w:rFonts w:ascii="Verdana" w:hAnsi="Verdana" w:cs="Verdana"/>
          <w:b/>
          <w:sz w:val="20"/>
          <w:szCs w:val="20"/>
        </w:rPr>
      </w:pPr>
      <w:r w:rsidRPr="00BC3E85">
        <w:rPr>
          <w:rFonts w:ascii="Verdana" w:hAnsi="Verdana" w:cs="Verdana"/>
          <w:b/>
          <w:noProof/>
          <w:sz w:val="20"/>
          <w:szCs w:val="20"/>
        </w:rPr>
        <w:drawing>
          <wp:inline distT="0" distB="0" distL="0" distR="0" wp14:anchorId="4F698793" wp14:editId="328224C1">
            <wp:extent cx="5495925" cy="230469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15629" cy="2312953"/>
                    </a:xfrm>
                    <a:prstGeom prst="rect">
                      <a:avLst/>
                    </a:prstGeom>
                  </pic:spPr>
                </pic:pic>
              </a:graphicData>
            </a:graphic>
          </wp:inline>
        </w:drawing>
      </w:r>
    </w:p>
    <w:p w14:paraId="0F1791F0" w14:textId="08D3CF88" w:rsidR="00A2704B" w:rsidRDefault="00A2704B" w:rsidP="00A2704B">
      <w:pPr>
        <w:rPr>
          <w:rFonts w:ascii="Verdana" w:hAnsi="Verdana" w:cs="Verdana"/>
          <w:b/>
          <w:sz w:val="20"/>
          <w:szCs w:val="20"/>
        </w:rPr>
      </w:pPr>
    </w:p>
    <w:p w14:paraId="40CD5B37" w14:textId="7DA1A7DE" w:rsidR="00A2704B" w:rsidRDefault="00A2704B" w:rsidP="00A2704B">
      <w:pPr>
        <w:rPr>
          <w:rFonts w:ascii="Verdana" w:hAnsi="Verdana" w:cs="Verdana"/>
          <w:b/>
          <w:sz w:val="20"/>
          <w:szCs w:val="20"/>
        </w:rPr>
      </w:pPr>
      <w:r>
        <w:rPr>
          <w:rFonts w:ascii="Verdana" w:hAnsi="Verdana" w:cs="Verdana"/>
          <w:b/>
          <w:sz w:val="20"/>
          <w:szCs w:val="20"/>
        </w:rPr>
        <w:t>Insight:  New Job Postings Rich Text Editor</w:t>
      </w:r>
    </w:p>
    <w:p w14:paraId="3DB1F3E6" w14:textId="72E4C4E2" w:rsidR="00810FBF" w:rsidRDefault="00810FBF" w:rsidP="00A2704B">
      <w:pPr>
        <w:rPr>
          <w:rFonts w:ascii="Verdana" w:hAnsi="Verdana" w:cs="Verdana"/>
          <w:bCs/>
          <w:sz w:val="20"/>
          <w:szCs w:val="20"/>
        </w:rPr>
      </w:pPr>
      <w:r>
        <w:rPr>
          <w:rFonts w:ascii="Verdana" w:hAnsi="Verdana" w:cs="Verdana"/>
          <w:bCs/>
          <w:sz w:val="20"/>
          <w:szCs w:val="20"/>
        </w:rPr>
        <w:t xml:space="preserve">The job posting add/edit page </w:t>
      </w:r>
      <w:r w:rsidR="00B04D0A">
        <w:rPr>
          <w:rFonts w:ascii="Verdana" w:hAnsi="Verdana" w:cs="Verdana"/>
          <w:bCs/>
          <w:sz w:val="20"/>
          <w:szCs w:val="20"/>
        </w:rPr>
        <w:t>includes</w:t>
      </w:r>
      <w:r>
        <w:rPr>
          <w:rFonts w:ascii="Verdana" w:hAnsi="Verdana" w:cs="Verdana"/>
          <w:bCs/>
          <w:sz w:val="20"/>
          <w:szCs w:val="20"/>
        </w:rPr>
        <w:t xml:space="preserve"> an enhanced Rich Text Editor (RTE) for an improved user experience</w:t>
      </w:r>
      <w:r w:rsidR="00B04D0A">
        <w:rPr>
          <w:rFonts w:ascii="Verdana" w:hAnsi="Verdana" w:cs="Verdana"/>
          <w:bCs/>
          <w:sz w:val="20"/>
          <w:szCs w:val="20"/>
        </w:rPr>
        <w:t xml:space="preserve"> and provides </w:t>
      </w:r>
      <w:r w:rsidR="00E14EAC">
        <w:rPr>
          <w:rFonts w:ascii="Verdana" w:hAnsi="Verdana" w:cs="Verdana"/>
          <w:bCs/>
          <w:sz w:val="20"/>
          <w:szCs w:val="20"/>
        </w:rPr>
        <w:t>new functionality that enables users to:</w:t>
      </w:r>
    </w:p>
    <w:p w14:paraId="57966E24" w14:textId="02C4AC04" w:rsidR="00B04D0A" w:rsidRDefault="00B04D0A" w:rsidP="00B04D0A">
      <w:pPr>
        <w:pStyle w:val="ListParagraph"/>
        <w:numPr>
          <w:ilvl w:val="0"/>
          <w:numId w:val="42"/>
        </w:numPr>
        <w:rPr>
          <w:rFonts w:ascii="Verdana" w:hAnsi="Verdana" w:cs="Verdana"/>
          <w:bCs/>
          <w:sz w:val="20"/>
          <w:szCs w:val="20"/>
        </w:rPr>
      </w:pPr>
      <w:r>
        <w:rPr>
          <w:rFonts w:ascii="Verdana" w:hAnsi="Verdana" w:cs="Verdana"/>
          <w:bCs/>
          <w:sz w:val="20"/>
          <w:szCs w:val="20"/>
        </w:rPr>
        <w:t>Change text color</w:t>
      </w:r>
      <w:r w:rsidR="00527EE0">
        <w:rPr>
          <w:rFonts w:ascii="Verdana" w:hAnsi="Verdana" w:cs="Verdana"/>
          <w:bCs/>
          <w:sz w:val="20"/>
          <w:szCs w:val="20"/>
        </w:rPr>
        <w:t>s</w:t>
      </w:r>
    </w:p>
    <w:p w14:paraId="71DDF478" w14:textId="6326F967" w:rsidR="00B04D0A" w:rsidRDefault="00B04D0A" w:rsidP="00B04D0A">
      <w:pPr>
        <w:pStyle w:val="ListParagraph"/>
        <w:numPr>
          <w:ilvl w:val="0"/>
          <w:numId w:val="42"/>
        </w:numPr>
        <w:rPr>
          <w:rFonts w:ascii="Verdana" w:hAnsi="Verdana" w:cs="Verdana"/>
          <w:bCs/>
          <w:sz w:val="20"/>
          <w:szCs w:val="20"/>
        </w:rPr>
      </w:pPr>
      <w:r>
        <w:rPr>
          <w:rFonts w:ascii="Verdana" w:hAnsi="Verdana" w:cs="Verdana"/>
          <w:bCs/>
          <w:sz w:val="20"/>
          <w:szCs w:val="20"/>
        </w:rPr>
        <w:t>Clear formatting changes</w:t>
      </w:r>
    </w:p>
    <w:p w14:paraId="7314508E" w14:textId="7FFD0B46" w:rsidR="00B04D0A" w:rsidRDefault="00B04D0A" w:rsidP="00B04D0A">
      <w:pPr>
        <w:pStyle w:val="ListParagraph"/>
        <w:numPr>
          <w:ilvl w:val="0"/>
          <w:numId w:val="42"/>
        </w:numPr>
        <w:rPr>
          <w:rFonts w:ascii="Verdana" w:hAnsi="Verdana" w:cs="Verdana"/>
          <w:bCs/>
          <w:sz w:val="20"/>
          <w:szCs w:val="20"/>
        </w:rPr>
      </w:pPr>
      <w:r>
        <w:rPr>
          <w:rFonts w:ascii="Verdana" w:hAnsi="Verdana" w:cs="Verdana"/>
          <w:bCs/>
          <w:sz w:val="20"/>
          <w:szCs w:val="20"/>
        </w:rPr>
        <w:t>Insert tables</w:t>
      </w:r>
    </w:p>
    <w:p w14:paraId="29A68A92" w14:textId="4B428795" w:rsidR="00B04D0A" w:rsidRPr="00B04D0A" w:rsidRDefault="00E327FA" w:rsidP="00B04D0A">
      <w:pPr>
        <w:pStyle w:val="ListParagraph"/>
        <w:numPr>
          <w:ilvl w:val="0"/>
          <w:numId w:val="42"/>
        </w:numPr>
        <w:rPr>
          <w:rFonts w:ascii="Verdana" w:hAnsi="Verdana" w:cs="Verdana"/>
          <w:bCs/>
          <w:sz w:val="20"/>
          <w:szCs w:val="20"/>
        </w:rPr>
      </w:pPr>
      <w:r>
        <w:rPr>
          <w:rFonts w:ascii="Verdana" w:hAnsi="Verdana" w:cs="Verdana"/>
          <w:bCs/>
          <w:sz w:val="20"/>
          <w:szCs w:val="20"/>
        </w:rPr>
        <w:t>Undo/redo changes</w:t>
      </w:r>
    </w:p>
    <w:p w14:paraId="3D15A2DC" w14:textId="3C37EBC5" w:rsidR="00531957" w:rsidRDefault="00531957" w:rsidP="00AE2724">
      <w:pPr>
        <w:rPr>
          <w:rFonts w:ascii="Verdana" w:hAnsi="Verdana" w:cs="Verdana"/>
          <w:bCs/>
          <w:sz w:val="20"/>
          <w:szCs w:val="20"/>
        </w:rPr>
      </w:pPr>
    </w:p>
    <w:p w14:paraId="1D1E56D9" w14:textId="56A38798" w:rsidR="00AE2724" w:rsidRDefault="00AE2724" w:rsidP="00AE2724">
      <w:pPr>
        <w:rPr>
          <w:rFonts w:ascii="Verdana" w:hAnsi="Verdana" w:cs="Verdana"/>
          <w:bCs/>
          <w:sz w:val="20"/>
          <w:szCs w:val="20"/>
        </w:rPr>
      </w:pPr>
      <w:r w:rsidRPr="00AE2724">
        <w:rPr>
          <w:rFonts w:ascii="Verdana" w:hAnsi="Verdana" w:cs="Verdana"/>
          <w:b/>
          <w:sz w:val="20"/>
          <w:szCs w:val="20"/>
        </w:rPr>
        <w:t>N</w:t>
      </w:r>
      <w:r w:rsidR="005033C8">
        <w:rPr>
          <w:rFonts w:ascii="Verdana" w:hAnsi="Verdana" w:cs="Verdana"/>
          <w:b/>
          <w:sz w:val="20"/>
          <w:szCs w:val="20"/>
        </w:rPr>
        <w:t>OTE</w:t>
      </w:r>
      <w:r w:rsidRPr="00AE2724">
        <w:rPr>
          <w:rFonts w:ascii="Verdana" w:hAnsi="Verdana" w:cs="Verdana"/>
          <w:b/>
          <w:sz w:val="20"/>
          <w:szCs w:val="20"/>
        </w:rPr>
        <w:t>:</w:t>
      </w:r>
      <w:r>
        <w:rPr>
          <w:rFonts w:ascii="Verdana" w:hAnsi="Verdana" w:cs="Verdana"/>
          <w:b/>
          <w:sz w:val="20"/>
          <w:szCs w:val="20"/>
        </w:rPr>
        <w:t xml:space="preserve"> </w:t>
      </w:r>
      <w:r>
        <w:rPr>
          <w:rFonts w:ascii="Verdana" w:hAnsi="Verdana" w:cs="Verdana"/>
          <w:bCs/>
          <w:sz w:val="20"/>
          <w:szCs w:val="20"/>
        </w:rPr>
        <w:t xml:space="preserve">Text color should </w:t>
      </w:r>
      <w:r>
        <w:rPr>
          <w:rFonts w:ascii="Verdana" w:hAnsi="Verdana" w:cs="Verdana"/>
          <w:b/>
          <w:sz w:val="20"/>
          <w:szCs w:val="20"/>
          <w:u w:val="single"/>
        </w:rPr>
        <w:t>NOT</w:t>
      </w:r>
      <w:r>
        <w:rPr>
          <w:rFonts w:ascii="Verdana" w:hAnsi="Verdana" w:cs="Verdana"/>
          <w:bCs/>
          <w:sz w:val="20"/>
          <w:szCs w:val="20"/>
        </w:rPr>
        <w:t xml:space="preserve"> be changed at this time. The OA, Bureau of Talent Acquisition will be providing further guidance on text formatting that is compliant with ADA policies and requirements.</w:t>
      </w:r>
    </w:p>
    <w:p w14:paraId="2F6369B3" w14:textId="77777777" w:rsidR="008848A0" w:rsidRPr="00AE2724" w:rsidRDefault="008848A0" w:rsidP="00AE2724">
      <w:pPr>
        <w:rPr>
          <w:rFonts w:ascii="Verdana" w:hAnsi="Verdana" w:cs="Verdana"/>
          <w:bCs/>
          <w:sz w:val="20"/>
          <w:szCs w:val="20"/>
        </w:rPr>
      </w:pPr>
    </w:p>
    <w:p w14:paraId="255B7263" w14:textId="45C8D528" w:rsidR="00A2704B" w:rsidRDefault="00B04D0A" w:rsidP="00B7488A">
      <w:pPr>
        <w:tabs>
          <w:tab w:val="left" w:pos="9450"/>
        </w:tabs>
        <w:jc w:val="center"/>
        <w:rPr>
          <w:rFonts w:ascii="Verdana" w:hAnsi="Verdana" w:cs="Verdana"/>
          <w:b/>
          <w:sz w:val="20"/>
          <w:szCs w:val="20"/>
        </w:rPr>
      </w:pPr>
      <w:r w:rsidRPr="00B04D0A">
        <w:rPr>
          <w:rFonts w:ascii="Verdana" w:hAnsi="Verdana" w:cs="Verdana"/>
          <w:b/>
          <w:noProof/>
          <w:sz w:val="20"/>
          <w:szCs w:val="20"/>
        </w:rPr>
        <w:drawing>
          <wp:inline distT="0" distB="0" distL="0" distR="0" wp14:anchorId="65B334AE" wp14:editId="3AA8C907">
            <wp:extent cx="5505450" cy="1641475"/>
            <wp:effectExtent l="19050" t="19050" r="19050" b="158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77877" cy="1692885"/>
                    </a:xfrm>
                    <a:prstGeom prst="rect">
                      <a:avLst/>
                    </a:prstGeom>
                    <a:ln>
                      <a:solidFill>
                        <a:schemeClr val="tx1"/>
                      </a:solidFill>
                    </a:ln>
                  </pic:spPr>
                </pic:pic>
              </a:graphicData>
            </a:graphic>
          </wp:inline>
        </w:drawing>
      </w:r>
    </w:p>
    <w:p w14:paraId="5F811204" w14:textId="6CDDC192" w:rsidR="00A2704B" w:rsidRDefault="00A2704B" w:rsidP="00A2704B">
      <w:pPr>
        <w:rPr>
          <w:rFonts w:ascii="Verdana" w:hAnsi="Verdana" w:cs="Verdana"/>
          <w:b/>
          <w:sz w:val="20"/>
          <w:szCs w:val="20"/>
        </w:rPr>
      </w:pPr>
      <w:r>
        <w:rPr>
          <w:rFonts w:ascii="Verdana" w:hAnsi="Verdana" w:cs="Verdana"/>
          <w:b/>
          <w:sz w:val="20"/>
          <w:szCs w:val="20"/>
        </w:rPr>
        <w:lastRenderedPageBreak/>
        <w:t>Career Pages: Links to Postings on Job Alerts</w:t>
      </w:r>
    </w:p>
    <w:p w14:paraId="1257FFD1" w14:textId="2B50AFF6" w:rsidR="008D2083" w:rsidRPr="008D2083" w:rsidRDefault="008D2083" w:rsidP="00A2704B">
      <w:pPr>
        <w:rPr>
          <w:rFonts w:ascii="Verdana" w:hAnsi="Verdana" w:cs="Verdana"/>
          <w:bCs/>
          <w:sz w:val="20"/>
          <w:szCs w:val="20"/>
        </w:rPr>
      </w:pPr>
      <w:r>
        <w:rPr>
          <w:rFonts w:ascii="Verdana" w:hAnsi="Verdana" w:cs="Verdana"/>
          <w:bCs/>
          <w:sz w:val="20"/>
          <w:szCs w:val="20"/>
        </w:rPr>
        <w:t>Job</w:t>
      </w:r>
      <w:r w:rsidRPr="008D2083">
        <w:rPr>
          <w:rFonts w:ascii="Verdana" w:hAnsi="Verdana" w:cs="Verdana"/>
          <w:bCs/>
          <w:sz w:val="20"/>
          <w:szCs w:val="20"/>
        </w:rPr>
        <w:t xml:space="preserve"> Alerts (i.e. Job Interest Cards) that candidates receive after subscribing to one or more job categories</w:t>
      </w:r>
      <w:r>
        <w:rPr>
          <w:rFonts w:ascii="Verdana" w:hAnsi="Verdana" w:cs="Verdana"/>
          <w:bCs/>
          <w:sz w:val="20"/>
          <w:szCs w:val="20"/>
        </w:rPr>
        <w:t xml:space="preserve"> now include direct links to each individual job posting instead of a single link to the job opportunities page. </w:t>
      </w:r>
    </w:p>
    <w:p w14:paraId="3405EFEB" w14:textId="62D1C710" w:rsidR="00A2704B" w:rsidRDefault="00A2704B" w:rsidP="00A2704B">
      <w:pPr>
        <w:rPr>
          <w:rFonts w:ascii="Verdana" w:hAnsi="Verdana" w:cs="Verdana"/>
          <w:b/>
          <w:sz w:val="20"/>
          <w:szCs w:val="20"/>
        </w:rPr>
      </w:pPr>
    </w:p>
    <w:p w14:paraId="24CE8F99" w14:textId="61CF75DA" w:rsidR="00A2704B" w:rsidRDefault="00A2704B" w:rsidP="00A2704B">
      <w:pPr>
        <w:rPr>
          <w:rFonts w:ascii="Verdana" w:hAnsi="Verdana" w:cs="Verdana"/>
          <w:b/>
          <w:sz w:val="20"/>
          <w:szCs w:val="20"/>
        </w:rPr>
      </w:pPr>
      <w:r>
        <w:rPr>
          <w:rFonts w:ascii="Verdana" w:hAnsi="Verdana" w:cs="Verdana"/>
          <w:b/>
          <w:sz w:val="20"/>
          <w:szCs w:val="20"/>
        </w:rPr>
        <w:t xml:space="preserve">Career Pages: </w:t>
      </w:r>
      <w:r w:rsidR="003306B2">
        <w:rPr>
          <w:rFonts w:ascii="Verdana" w:hAnsi="Verdana" w:cs="Verdana"/>
          <w:b/>
          <w:sz w:val="20"/>
          <w:szCs w:val="20"/>
        </w:rPr>
        <w:t>Incomplete Job Application Alert</w:t>
      </w:r>
    </w:p>
    <w:p w14:paraId="6EE92042" w14:textId="022E012E" w:rsidR="008D2083" w:rsidRPr="005A6B2D" w:rsidRDefault="005A6B2D" w:rsidP="00A2704B">
      <w:pPr>
        <w:rPr>
          <w:rFonts w:ascii="Verdana" w:hAnsi="Verdana" w:cs="Verdana"/>
          <w:bCs/>
          <w:sz w:val="20"/>
          <w:szCs w:val="20"/>
        </w:rPr>
      </w:pPr>
      <w:r>
        <w:rPr>
          <w:rFonts w:ascii="Verdana" w:hAnsi="Verdana" w:cs="Verdana"/>
          <w:bCs/>
          <w:sz w:val="20"/>
          <w:szCs w:val="20"/>
        </w:rPr>
        <w:t>Candidates will now receive automated email notifications when they have incomplete job applications saved in their applicant account. The automated email notice reminds candidates to complete the job application and submit before the posting closes. Notifications will be sent to the candidate’s email and applicant inbox beginning on</w:t>
      </w:r>
      <w:r w:rsidR="00527EE0">
        <w:rPr>
          <w:rFonts w:ascii="Verdana" w:hAnsi="Verdana" w:cs="Verdana"/>
          <w:bCs/>
          <w:sz w:val="20"/>
          <w:szCs w:val="20"/>
        </w:rPr>
        <w:t xml:space="preserve"> the</w:t>
      </w:r>
      <w:r>
        <w:rPr>
          <w:rFonts w:ascii="Verdana" w:hAnsi="Verdana" w:cs="Verdana"/>
          <w:bCs/>
          <w:sz w:val="20"/>
          <w:szCs w:val="20"/>
        </w:rPr>
        <w:t xml:space="preserve"> third day before the job posting close date</w:t>
      </w:r>
      <w:r w:rsidR="0044756C">
        <w:rPr>
          <w:rFonts w:ascii="Verdana" w:hAnsi="Verdana" w:cs="Verdana"/>
          <w:bCs/>
          <w:sz w:val="20"/>
          <w:szCs w:val="20"/>
        </w:rPr>
        <w:t xml:space="preserve"> and each day thereafter until the posting closes</w:t>
      </w:r>
      <w:r>
        <w:rPr>
          <w:rFonts w:ascii="Verdana" w:hAnsi="Verdana" w:cs="Verdana"/>
          <w:bCs/>
          <w:sz w:val="20"/>
          <w:szCs w:val="20"/>
        </w:rPr>
        <w:t>. Candidates will receive separate email notices for each incomplete job application.</w:t>
      </w:r>
    </w:p>
    <w:p w14:paraId="15B5DE22" w14:textId="67A87740" w:rsidR="00A2704B" w:rsidRDefault="00A2704B" w:rsidP="00A2704B">
      <w:pPr>
        <w:rPr>
          <w:rFonts w:ascii="Verdana" w:hAnsi="Verdana" w:cs="Verdana"/>
          <w:b/>
          <w:sz w:val="20"/>
          <w:szCs w:val="20"/>
        </w:rPr>
      </w:pPr>
    </w:p>
    <w:p w14:paraId="44F3B0A9" w14:textId="77777777" w:rsidR="005A6B2D" w:rsidRPr="00A2704B" w:rsidRDefault="005A6B2D" w:rsidP="00A2704B">
      <w:pPr>
        <w:rPr>
          <w:rFonts w:ascii="Verdana" w:hAnsi="Verdana" w:cs="Verdana"/>
          <w:b/>
          <w:sz w:val="20"/>
          <w:szCs w:val="20"/>
        </w:rPr>
      </w:pPr>
    </w:p>
    <w:p w14:paraId="312505F7" w14:textId="43EC1F38" w:rsidR="004C237C" w:rsidRPr="00CB6361" w:rsidRDefault="00377242" w:rsidP="009C625C">
      <w:pPr>
        <w:rPr>
          <w:rFonts w:ascii="Verdana" w:hAnsi="Verdana" w:cs="Verdana"/>
          <w:bCs/>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r>
      <w:r w:rsidRPr="00DA2E4A">
        <w:rPr>
          <w:rFonts w:ascii="Verdana" w:hAnsi="Verdana" w:cs="Verdana"/>
          <w:sz w:val="20"/>
          <w:szCs w:val="20"/>
        </w:rPr>
        <w:t>If you have any questions regarding</w:t>
      </w:r>
      <w:r w:rsidR="00187086" w:rsidRPr="00DA2E4A">
        <w:rPr>
          <w:rFonts w:ascii="Verdana" w:hAnsi="Verdana" w:cs="Verdana"/>
          <w:sz w:val="20"/>
          <w:szCs w:val="20"/>
        </w:rPr>
        <w:t xml:space="preserve"> the</w:t>
      </w:r>
      <w:r w:rsidRPr="00DA2E4A">
        <w:rPr>
          <w:rFonts w:ascii="Verdana" w:hAnsi="Verdana" w:cs="Verdana"/>
          <w:sz w:val="20"/>
          <w:szCs w:val="20"/>
        </w:rPr>
        <w:t xml:space="preserve"> </w:t>
      </w:r>
      <w:sdt>
        <w:sdtPr>
          <w:rPr>
            <w:rFonts w:ascii="Verdana" w:hAnsi="Verdana" w:cs="Verdana"/>
            <w:sz w:val="20"/>
            <w:szCs w:val="20"/>
          </w:rPr>
          <w:alias w:val="Title"/>
          <w:id w:val="1612981"/>
          <w:placeholder>
            <w:docPart w:val="CE371D3513324C21B3AD639EFE53F39F"/>
          </w:placeholder>
          <w:dataBinding w:prefixMappings="xmlns:ns0='http://purl.org/dc/elements/1.1/' xmlns:ns1='http://schemas.openxmlformats.org/package/2006/metadata/core-properties' " w:xpath="/ns1:coreProperties[1]/ns0:title[1]" w:storeItemID="{6C3C8BC8-F283-45AE-878A-BAB7291924A1}"/>
          <w:text/>
        </w:sdtPr>
        <w:sdtEndPr/>
        <w:sdtContent>
          <w:r w:rsidR="0085131F">
            <w:rPr>
              <w:rFonts w:ascii="Verdana" w:hAnsi="Verdana" w:cs="Verdana"/>
              <w:sz w:val="20"/>
              <w:szCs w:val="20"/>
            </w:rPr>
            <w:t>November 2020 NEOGOV Enhancements</w:t>
          </w:r>
        </w:sdtContent>
      </w:sdt>
      <w:r w:rsidRPr="00DA2E4A">
        <w:rPr>
          <w:rFonts w:ascii="Verdana" w:hAnsi="Verdana" w:cs="Verdana"/>
          <w:sz w:val="20"/>
          <w:szCs w:val="20"/>
        </w:rPr>
        <w:t xml:space="preserve">, please </w:t>
      </w:r>
      <w:r w:rsidR="00187086" w:rsidRPr="00DA2E4A">
        <w:rPr>
          <w:rFonts w:ascii="Verdana" w:hAnsi="Verdana" w:cs="Verdana"/>
          <w:sz w:val="20"/>
          <w:szCs w:val="20"/>
        </w:rPr>
        <w:t xml:space="preserve">submit an </w:t>
      </w:r>
      <w:hyperlink r:id="rId17" w:history="1">
        <w:r w:rsidR="00187086" w:rsidRPr="00DA2E4A">
          <w:rPr>
            <w:rStyle w:val="Hyperlink"/>
            <w:rFonts w:ascii="Verdana" w:hAnsi="Verdana" w:cs="Verdana"/>
            <w:sz w:val="20"/>
            <w:szCs w:val="20"/>
          </w:rPr>
          <w:t>HR/Pay Help Desk</w:t>
        </w:r>
      </w:hyperlink>
      <w:r w:rsidR="00187086" w:rsidRPr="00DA2E4A">
        <w:rPr>
          <w:rFonts w:ascii="Verdana" w:hAnsi="Verdana" w:cs="Verdana"/>
          <w:sz w:val="20"/>
          <w:szCs w:val="20"/>
        </w:rPr>
        <w:t xml:space="preserve"> ticket under the ‘</w:t>
      </w:r>
      <w:r w:rsidR="0064292C">
        <w:rPr>
          <w:rFonts w:ascii="Verdana" w:hAnsi="Verdana" w:cs="Verdana"/>
          <w:sz w:val="20"/>
          <w:szCs w:val="20"/>
        </w:rPr>
        <w:t xml:space="preserve">HR </w:t>
      </w:r>
      <w:r w:rsidR="00187086" w:rsidRPr="00DA2E4A">
        <w:rPr>
          <w:rFonts w:ascii="Verdana" w:hAnsi="Verdana" w:cs="Verdana"/>
          <w:sz w:val="20"/>
          <w:szCs w:val="20"/>
        </w:rPr>
        <w:t>Application Support’ category.</w:t>
      </w:r>
      <w:r w:rsidR="00807036">
        <w:rPr>
          <w:rFonts w:ascii="Verdana" w:hAnsi="Verdana" w:cs="Verdana"/>
          <w:sz w:val="20"/>
          <w:szCs w:val="20"/>
        </w:rPr>
        <w:t xml:space="preserve"> </w:t>
      </w:r>
    </w:p>
    <w:sectPr w:rsidR="004C237C" w:rsidRPr="00CB6361" w:rsidSect="000F1E0C">
      <w:headerReference w:type="default" r:id="rId18"/>
      <w:footerReference w:type="even" r:id="rId19"/>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604FA" w14:textId="77777777" w:rsidR="00083A8A" w:rsidRDefault="00083A8A">
      <w:r>
        <w:separator/>
      </w:r>
    </w:p>
  </w:endnote>
  <w:endnote w:type="continuationSeparator" w:id="0">
    <w:p w14:paraId="317A9F89" w14:textId="77777777" w:rsidR="00083A8A" w:rsidRDefault="0008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699C"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7EBA8007"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CA639"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E75503">
      <w:rPr>
        <w:rStyle w:val="PageNumber"/>
        <w:rFonts w:ascii="Verdana" w:hAnsi="Verdana"/>
        <w:noProof/>
        <w:sz w:val="20"/>
        <w:szCs w:val="20"/>
      </w:rPr>
      <w:t>1</w:t>
    </w:r>
    <w:r w:rsidRPr="009C1B31">
      <w:rPr>
        <w:rStyle w:val="PageNumber"/>
        <w:rFonts w:ascii="Verdana" w:hAnsi="Verdana"/>
        <w:sz w:val="20"/>
        <w:szCs w:val="20"/>
      </w:rPr>
      <w:fldChar w:fldCharType="end"/>
    </w:r>
  </w:p>
  <w:p w14:paraId="4D11B2EC"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85ADD" w14:textId="77777777" w:rsidR="00083A8A" w:rsidRDefault="00083A8A">
      <w:r>
        <w:separator/>
      </w:r>
    </w:p>
  </w:footnote>
  <w:footnote w:type="continuationSeparator" w:id="0">
    <w:p w14:paraId="01233620" w14:textId="77777777" w:rsidR="00083A8A" w:rsidRDefault="00083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9E7B" w14:textId="77777777" w:rsidR="00C903F3" w:rsidRDefault="00C903F3" w:rsidP="00FF2959">
    <w:pPr>
      <w:pStyle w:val="Header"/>
      <w:tabs>
        <w:tab w:val="clear" w:pos="8640"/>
        <w:tab w:val="right" w:pos="9360"/>
      </w:tabs>
      <w:rPr>
        <w:rFonts w:ascii="Verdana" w:hAnsi="Verdana" w:cs="Arial"/>
        <w:b/>
        <w:bCs/>
        <w:sz w:val="28"/>
        <w:szCs w:val="28"/>
      </w:rPr>
    </w:pPr>
  </w:p>
  <w:p w14:paraId="100FA05D" w14:textId="3A99E0C6" w:rsidR="00C903F3" w:rsidRPr="009C625C" w:rsidRDefault="00083A8A" w:rsidP="00BA1B41">
    <w:pPr>
      <w:pStyle w:val="Header"/>
      <w:tabs>
        <w:tab w:val="clear" w:pos="4320"/>
        <w:tab w:val="center" w:pos="8640"/>
        <w:tab w:val="right" w:pos="9360"/>
      </w:tabs>
      <w:rPr>
        <w:rFonts w:ascii="Verdana" w:hAnsi="Verdana" w:cs="Arial"/>
        <w:b/>
        <w:bCs/>
        <w:sz w:val="28"/>
        <w:szCs w:val="28"/>
      </w:rPr>
    </w:pPr>
    <w:sdt>
      <w:sdtPr>
        <w:rPr>
          <w:rFonts w:ascii="Verdana" w:hAnsi="Verdana" w:cs="Arial"/>
          <w:b/>
          <w:bCs/>
          <w:sz w:val="28"/>
          <w:szCs w:val="28"/>
        </w:rPr>
        <w:alias w:val="Category"/>
        <w:id w:val="-805616052"/>
        <w:dataBinding w:prefixMappings="xmlns:ns0='http://purl.org/dc/elements/1.1/' xmlns:ns1='http://schemas.openxmlformats.org/package/2006/metadata/core-properties' " w:xpath="/ns1:coreProperties[1]/ns1:category[1]" w:storeItemID="{6C3C8BC8-F283-45AE-878A-BAB7291924A1}"/>
        <w:text/>
      </w:sdtPr>
      <w:sdtEndPr/>
      <w:sdtContent>
        <w:r w:rsidR="00BA1B41">
          <w:rPr>
            <w:rFonts w:ascii="Verdana" w:hAnsi="Verdana" w:cs="Arial"/>
            <w:b/>
            <w:bCs/>
            <w:sz w:val="28"/>
            <w:szCs w:val="28"/>
          </w:rPr>
          <w:t>Talent Acquisition</w:t>
        </w:r>
        <w:r w:rsidR="00C903F3">
          <w:rPr>
            <w:rFonts w:ascii="Verdana" w:hAnsi="Verdana" w:cs="Arial"/>
            <w:b/>
            <w:bCs/>
            <w:sz w:val="28"/>
            <w:szCs w:val="28"/>
          </w:rPr>
          <w:t xml:space="preserve">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855306142"/>
        <w:dataBinding w:prefixMappings="xmlns:ns0='http://purl.org/dc/elements/1.1/' xmlns:ns1='http://schemas.openxmlformats.org/package/2006/metadata/core-properties' " w:xpath="/ns1:coreProperties[1]/ns1:contentStatus[1]" w:storeItemID="{6C3C8BC8-F283-45AE-878A-BAB7291924A1}"/>
        <w:text/>
      </w:sdtPr>
      <w:sdtEndPr/>
      <w:sdtContent>
        <w:r w:rsidR="00C903F3" w:rsidRPr="009C625C">
          <w:rPr>
            <w:rFonts w:ascii="Verdana" w:hAnsi="Verdana" w:cs="Arial"/>
            <w:b/>
            <w:bCs/>
            <w:sz w:val="28"/>
            <w:szCs w:val="28"/>
          </w:rPr>
          <w:t>20</w:t>
        </w:r>
        <w:r w:rsidR="000C65AA">
          <w:rPr>
            <w:rFonts w:ascii="Verdana" w:hAnsi="Verdana" w:cs="Arial"/>
            <w:b/>
            <w:bCs/>
            <w:sz w:val="28"/>
            <w:szCs w:val="28"/>
          </w:rPr>
          <w:t>20</w:t>
        </w:r>
        <w:r w:rsidR="00C903F3" w:rsidRPr="009C625C">
          <w:rPr>
            <w:rFonts w:ascii="Verdana" w:hAnsi="Verdana" w:cs="Arial"/>
            <w:b/>
            <w:bCs/>
            <w:sz w:val="28"/>
            <w:szCs w:val="28"/>
          </w:rPr>
          <w:t>-</w:t>
        </w:r>
        <w:r w:rsidR="003F5C0F">
          <w:rPr>
            <w:rFonts w:ascii="Verdana" w:hAnsi="Verdana" w:cs="Arial"/>
            <w:b/>
            <w:bCs/>
            <w:sz w:val="28"/>
            <w:szCs w:val="28"/>
          </w:rPr>
          <w:t>1</w:t>
        </w:r>
        <w:r w:rsidR="00A0704D">
          <w:rPr>
            <w:rFonts w:ascii="Verdana" w:hAnsi="Verdana" w:cs="Arial"/>
            <w:b/>
            <w:bCs/>
            <w:sz w:val="28"/>
            <w:szCs w:val="28"/>
          </w:rPr>
          <w:t>3</w:t>
        </w:r>
      </w:sdtContent>
    </w:sdt>
  </w:p>
  <w:p w14:paraId="6FFB54BF" w14:textId="424229FB" w:rsidR="00C903F3"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BD2174">
      <w:rPr>
        <w:rFonts w:ascii="Verdana" w:hAnsi="Verdana" w:cs="Arial"/>
        <w:sz w:val="20"/>
        <w:szCs w:val="20"/>
      </w:rPr>
      <w:t>1</w:t>
    </w:r>
    <w:r w:rsidR="00A0704D">
      <w:rPr>
        <w:rFonts w:ascii="Verdana" w:hAnsi="Verdana" w:cs="Arial"/>
        <w:sz w:val="20"/>
        <w:szCs w:val="20"/>
      </w:rPr>
      <w:t>1</w:t>
    </w:r>
    <w:r w:rsidR="00BD2174">
      <w:rPr>
        <w:rFonts w:ascii="Verdana" w:hAnsi="Verdana" w:cs="Arial"/>
        <w:sz w:val="20"/>
        <w:szCs w:val="20"/>
      </w:rPr>
      <w:t>.</w:t>
    </w:r>
    <w:r w:rsidR="00A0704D">
      <w:rPr>
        <w:rFonts w:ascii="Verdana" w:hAnsi="Verdana" w:cs="Arial"/>
        <w:sz w:val="20"/>
        <w:szCs w:val="20"/>
      </w:rPr>
      <w:t>12</w:t>
    </w:r>
    <w:r w:rsidR="00BD2174">
      <w:rPr>
        <w:rFonts w:ascii="Verdana" w:hAnsi="Verdana" w:cs="Arial"/>
        <w:sz w:val="20"/>
        <w:szCs w:val="20"/>
      </w:rPr>
      <w:t>.2020</w:t>
    </w:r>
  </w:p>
  <w:p w14:paraId="17EF1DE6"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15142B"/>
    <w:multiLevelType w:val="hybridMultilevel"/>
    <w:tmpl w:val="E82C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5A2CF3"/>
    <w:multiLevelType w:val="hybridMultilevel"/>
    <w:tmpl w:val="6286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71079FD"/>
    <w:multiLevelType w:val="hybridMultilevel"/>
    <w:tmpl w:val="5E44D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88C3B74"/>
    <w:multiLevelType w:val="hybridMultilevel"/>
    <w:tmpl w:val="1766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2"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3"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408C035D"/>
    <w:multiLevelType w:val="hybridMultilevel"/>
    <w:tmpl w:val="6BAAB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B0E1F"/>
    <w:multiLevelType w:val="hybridMultilevel"/>
    <w:tmpl w:val="F716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82B6DCC"/>
    <w:multiLevelType w:val="hybridMultilevel"/>
    <w:tmpl w:val="F5649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9A6274"/>
    <w:multiLevelType w:val="hybridMultilevel"/>
    <w:tmpl w:val="7FD4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34837"/>
    <w:multiLevelType w:val="hybridMultilevel"/>
    <w:tmpl w:val="6C0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7"/>
  </w:num>
  <w:num w:numId="3">
    <w:abstractNumId w:val="23"/>
  </w:num>
  <w:num w:numId="4">
    <w:abstractNumId w:val="34"/>
  </w:num>
  <w:num w:numId="5">
    <w:abstractNumId w:val="36"/>
  </w:num>
  <w:num w:numId="6">
    <w:abstractNumId w:val="33"/>
  </w:num>
  <w:num w:numId="7">
    <w:abstractNumId w:val="16"/>
  </w:num>
  <w:num w:numId="8">
    <w:abstractNumId w:val="35"/>
  </w:num>
  <w:num w:numId="9">
    <w:abstractNumId w:val="8"/>
  </w:num>
  <w:num w:numId="10">
    <w:abstractNumId w:val="26"/>
  </w:num>
  <w:num w:numId="11">
    <w:abstractNumId w:val="15"/>
  </w:num>
  <w:num w:numId="12">
    <w:abstractNumId w:val="38"/>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3"/>
  </w:num>
  <w:num w:numId="15">
    <w:abstractNumId w:val="12"/>
  </w:num>
  <w:num w:numId="16">
    <w:abstractNumId w:val="4"/>
  </w:num>
  <w:num w:numId="17">
    <w:abstractNumId w:val="9"/>
  </w:num>
  <w:num w:numId="18">
    <w:abstractNumId w:val="29"/>
  </w:num>
  <w:num w:numId="19">
    <w:abstractNumId w:val="41"/>
  </w:num>
  <w:num w:numId="20">
    <w:abstractNumId w:val="1"/>
  </w:num>
  <w:num w:numId="21">
    <w:abstractNumId w:val="5"/>
  </w:num>
  <w:num w:numId="22">
    <w:abstractNumId w:val="22"/>
  </w:num>
  <w:num w:numId="23">
    <w:abstractNumId w:val="31"/>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2"/>
  </w:num>
  <w:num w:numId="27">
    <w:abstractNumId w:val="19"/>
  </w:num>
  <w:num w:numId="28">
    <w:abstractNumId w:val="13"/>
  </w:num>
  <w:num w:numId="29">
    <w:abstractNumId w:val="21"/>
  </w:num>
  <w:num w:numId="30">
    <w:abstractNumId w:val="28"/>
  </w:num>
  <w:num w:numId="31">
    <w:abstractNumId w:val="37"/>
  </w:num>
  <w:num w:numId="32">
    <w:abstractNumId w:val="7"/>
  </w:num>
  <w:num w:numId="33">
    <w:abstractNumId w:val="20"/>
  </w:num>
  <w:num w:numId="34">
    <w:abstractNumId w:val="18"/>
  </w:num>
  <w:num w:numId="35">
    <w:abstractNumId w:val="6"/>
  </w:num>
  <w:num w:numId="36">
    <w:abstractNumId w:val="39"/>
  </w:num>
  <w:num w:numId="37">
    <w:abstractNumId w:val="24"/>
  </w:num>
  <w:num w:numId="38">
    <w:abstractNumId w:val="30"/>
  </w:num>
  <w:num w:numId="39">
    <w:abstractNumId w:val="40"/>
  </w:num>
  <w:num w:numId="40">
    <w:abstractNumId w:val="10"/>
  </w:num>
  <w:num w:numId="41">
    <w:abstractNumId w:val="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78"/>
    <w:rsid w:val="000004F7"/>
    <w:rsid w:val="00004E10"/>
    <w:rsid w:val="000067BF"/>
    <w:rsid w:val="00010771"/>
    <w:rsid w:val="000128F7"/>
    <w:rsid w:val="00015F8F"/>
    <w:rsid w:val="00016146"/>
    <w:rsid w:val="00023915"/>
    <w:rsid w:val="00031257"/>
    <w:rsid w:val="0003213D"/>
    <w:rsid w:val="000373A1"/>
    <w:rsid w:val="00040228"/>
    <w:rsid w:val="00041A44"/>
    <w:rsid w:val="00042258"/>
    <w:rsid w:val="00047832"/>
    <w:rsid w:val="000518DD"/>
    <w:rsid w:val="00054CF9"/>
    <w:rsid w:val="000561E3"/>
    <w:rsid w:val="000633BB"/>
    <w:rsid w:val="000677CE"/>
    <w:rsid w:val="0007299B"/>
    <w:rsid w:val="00072A69"/>
    <w:rsid w:val="00072BF1"/>
    <w:rsid w:val="00073B6C"/>
    <w:rsid w:val="000814AB"/>
    <w:rsid w:val="00083A8A"/>
    <w:rsid w:val="0008754B"/>
    <w:rsid w:val="00087A21"/>
    <w:rsid w:val="00093A50"/>
    <w:rsid w:val="0009645F"/>
    <w:rsid w:val="000973C3"/>
    <w:rsid w:val="000A0B0D"/>
    <w:rsid w:val="000A0C88"/>
    <w:rsid w:val="000A3C11"/>
    <w:rsid w:val="000C4AD8"/>
    <w:rsid w:val="000C6543"/>
    <w:rsid w:val="000C65AA"/>
    <w:rsid w:val="000D0871"/>
    <w:rsid w:val="000D1069"/>
    <w:rsid w:val="000D22E1"/>
    <w:rsid w:val="000D6532"/>
    <w:rsid w:val="000D78CE"/>
    <w:rsid w:val="000E28F3"/>
    <w:rsid w:val="000E2D5F"/>
    <w:rsid w:val="000E4D76"/>
    <w:rsid w:val="000E559E"/>
    <w:rsid w:val="000E6BAC"/>
    <w:rsid w:val="000F1E0C"/>
    <w:rsid w:val="000F2D64"/>
    <w:rsid w:val="00103FDC"/>
    <w:rsid w:val="0010609C"/>
    <w:rsid w:val="00106466"/>
    <w:rsid w:val="001113ED"/>
    <w:rsid w:val="0011336B"/>
    <w:rsid w:val="00113B26"/>
    <w:rsid w:val="00116A3A"/>
    <w:rsid w:val="00123562"/>
    <w:rsid w:val="00126C7D"/>
    <w:rsid w:val="00130011"/>
    <w:rsid w:val="001332B4"/>
    <w:rsid w:val="0013414E"/>
    <w:rsid w:val="00135131"/>
    <w:rsid w:val="00142029"/>
    <w:rsid w:val="00146CF2"/>
    <w:rsid w:val="0015085F"/>
    <w:rsid w:val="00156BF2"/>
    <w:rsid w:val="001573CB"/>
    <w:rsid w:val="001601FB"/>
    <w:rsid w:val="00160FAD"/>
    <w:rsid w:val="00163F86"/>
    <w:rsid w:val="001641F0"/>
    <w:rsid w:val="00164DFD"/>
    <w:rsid w:val="00166D7C"/>
    <w:rsid w:val="00170294"/>
    <w:rsid w:val="0017351C"/>
    <w:rsid w:val="00175C94"/>
    <w:rsid w:val="00176CD7"/>
    <w:rsid w:val="001833BD"/>
    <w:rsid w:val="00183489"/>
    <w:rsid w:val="00186247"/>
    <w:rsid w:val="00186618"/>
    <w:rsid w:val="00187086"/>
    <w:rsid w:val="0019063F"/>
    <w:rsid w:val="001938E2"/>
    <w:rsid w:val="00194B6C"/>
    <w:rsid w:val="001A141E"/>
    <w:rsid w:val="001A3BF8"/>
    <w:rsid w:val="001A6778"/>
    <w:rsid w:val="001B3B1F"/>
    <w:rsid w:val="001B7158"/>
    <w:rsid w:val="001C41D8"/>
    <w:rsid w:val="001D27AD"/>
    <w:rsid w:val="001D4869"/>
    <w:rsid w:val="001D6ABF"/>
    <w:rsid w:val="001E351E"/>
    <w:rsid w:val="001E41C8"/>
    <w:rsid w:val="001E47DB"/>
    <w:rsid w:val="001E5838"/>
    <w:rsid w:val="001E611F"/>
    <w:rsid w:val="001F0007"/>
    <w:rsid w:val="001F1072"/>
    <w:rsid w:val="001F2FC8"/>
    <w:rsid w:val="001F3743"/>
    <w:rsid w:val="001F5C3D"/>
    <w:rsid w:val="0020031B"/>
    <w:rsid w:val="002037AE"/>
    <w:rsid w:val="0020390D"/>
    <w:rsid w:val="00204AB0"/>
    <w:rsid w:val="002132AC"/>
    <w:rsid w:val="00222BDA"/>
    <w:rsid w:val="00223308"/>
    <w:rsid w:val="00224B5D"/>
    <w:rsid w:val="002277C4"/>
    <w:rsid w:val="0023252F"/>
    <w:rsid w:val="002336DC"/>
    <w:rsid w:val="002418BA"/>
    <w:rsid w:val="002508CB"/>
    <w:rsid w:val="002513E8"/>
    <w:rsid w:val="00254EAB"/>
    <w:rsid w:val="00261AF4"/>
    <w:rsid w:val="00262C4D"/>
    <w:rsid w:val="0026477D"/>
    <w:rsid w:val="0026608F"/>
    <w:rsid w:val="002731E2"/>
    <w:rsid w:val="00273B57"/>
    <w:rsid w:val="00276153"/>
    <w:rsid w:val="00281C3D"/>
    <w:rsid w:val="00287F03"/>
    <w:rsid w:val="00291AB4"/>
    <w:rsid w:val="00296667"/>
    <w:rsid w:val="0029768F"/>
    <w:rsid w:val="002A1269"/>
    <w:rsid w:val="002A25C9"/>
    <w:rsid w:val="002A29AE"/>
    <w:rsid w:val="002A313F"/>
    <w:rsid w:val="002A5A55"/>
    <w:rsid w:val="002B0550"/>
    <w:rsid w:val="002B2E5C"/>
    <w:rsid w:val="002B2E7D"/>
    <w:rsid w:val="002B3206"/>
    <w:rsid w:val="002C1D43"/>
    <w:rsid w:val="002C27FD"/>
    <w:rsid w:val="002C44ED"/>
    <w:rsid w:val="002C5365"/>
    <w:rsid w:val="002C75E6"/>
    <w:rsid w:val="002D05F5"/>
    <w:rsid w:val="002D5FEF"/>
    <w:rsid w:val="002D60CC"/>
    <w:rsid w:val="002E058D"/>
    <w:rsid w:val="002E1466"/>
    <w:rsid w:val="002E2EC1"/>
    <w:rsid w:val="002E7E5C"/>
    <w:rsid w:val="002F08C8"/>
    <w:rsid w:val="002F0C17"/>
    <w:rsid w:val="002F51DF"/>
    <w:rsid w:val="002F73A0"/>
    <w:rsid w:val="003027DA"/>
    <w:rsid w:val="00303D42"/>
    <w:rsid w:val="00303DED"/>
    <w:rsid w:val="00307692"/>
    <w:rsid w:val="0031278B"/>
    <w:rsid w:val="00315AC7"/>
    <w:rsid w:val="00320821"/>
    <w:rsid w:val="00321975"/>
    <w:rsid w:val="00322086"/>
    <w:rsid w:val="00323AC2"/>
    <w:rsid w:val="00324421"/>
    <w:rsid w:val="003268CB"/>
    <w:rsid w:val="003306B2"/>
    <w:rsid w:val="00345C9A"/>
    <w:rsid w:val="0035247B"/>
    <w:rsid w:val="0035262C"/>
    <w:rsid w:val="00354A1B"/>
    <w:rsid w:val="00354FA8"/>
    <w:rsid w:val="0036175D"/>
    <w:rsid w:val="00363E80"/>
    <w:rsid w:val="00364317"/>
    <w:rsid w:val="00366DFA"/>
    <w:rsid w:val="0037210D"/>
    <w:rsid w:val="00377242"/>
    <w:rsid w:val="00380C5D"/>
    <w:rsid w:val="003822D5"/>
    <w:rsid w:val="00382C9D"/>
    <w:rsid w:val="003847D5"/>
    <w:rsid w:val="00387972"/>
    <w:rsid w:val="00396A0F"/>
    <w:rsid w:val="003A3B9F"/>
    <w:rsid w:val="003A586D"/>
    <w:rsid w:val="003B17DC"/>
    <w:rsid w:val="003C059B"/>
    <w:rsid w:val="003C475F"/>
    <w:rsid w:val="003D31C3"/>
    <w:rsid w:val="003D3C16"/>
    <w:rsid w:val="003E1FE0"/>
    <w:rsid w:val="003E2199"/>
    <w:rsid w:val="003E3CB8"/>
    <w:rsid w:val="003E4BCC"/>
    <w:rsid w:val="003E6EE2"/>
    <w:rsid w:val="003F1703"/>
    <w:rsid w:val="003F28EF"/>
    <w:rsid w:val="003F45B6"/>
    <w:rsid w:val="003F4723"/>
    <w:rsid w:val="003F5C0F"/>
    <w:rsid w:val="003F7304"/>
    <w:rsid w:val="00400CE7"/>
    <w:rsid w:val="00406094"/>
    <w:rsid w:val="00407367"/>
    <w:rsid w:val="00410201"/>
    <w:rsid w:val="00412D1B"/>
    <w:rsid w:val="00414315"/>
    <w:rsid w:val="0042181A"/>
    <w:rsid w:val="004231E8"/>
    <w:rsid w:val="00430AC7"/>
    <w:rsid w:val="00431645"/>
    <w:rsid w:val="0043167E"/>
    <w:rsid w:val="0043319B"/>
    <w:rsid w:val="00436DC5"/>
    <w:rsid w:val="0044756C"/>
    <w:rsid w:val="00451F7B"/>
    <w:rsid w:val="00454D11"/>
    <w:rsid w:val="00454FFD"/>
    <w:rsid w:val="00455148"/>
    <w:rsid w:val="004566AE"/>
    <w:rsid w:val="00460158"/>
    <w:rsid w:val="00460B23"/>
    <w:rsid w:val="00464D56"/>
    <w:rsid w:val="00465E93"/>
    <w:rsid w:val="00465F51"/>
    <w:rsid w:val="00472D0E"/>
    <w:rsid w:val="00473681"/>
    <w:rsid w:val="00477BB0"/>
    <w:rsid w:val="004821A6"/>
    <w:rsid w:val="004827A5"/>
    <w:rsid w:val="00483A69"/>
    <w:rsid w:val="0048680C"/>
    <w:rsid w:val="00487CCC"/>
    <w:rsid w:val="004931E1"/>
    <w:rsid w:val="004952E6"/>
    <w:rsid w:val="004954DC"/>
    <w:rsid w:val="004A037D"/>
    <w:rsid w:val="004A3198"/>
    <w:rsid w:val="004A43E8"/>
    <w:rsid w:val="004B0360"/>
    <w:rsid w:val="004B5473"/>
    <w:rsid w:val="004C157A"/>
    <w:rsid w:val="004C2053"/>
    <w:rsid w:val="004C237C"/>
    <w:rsid w:val="004D0398"/>
    <w:rsid w:val="004D2081"/>
    <w:rsid w:val="004D65C7"/>
    <w:rsid w:val="004D7054"/>
    <w:rsid w:val="004E0010"/>
    <w:rsid w:val="004E1A78"/>
    <w:rsid w:val="004F2877"/>
    <w:rsid w:val="004F52F4"/>
    <w:rsid w:val="004F6692"/>
    <w:rsid w:val="004F6A99"/>
    <w:rsid w:val="005033C8"/>
    <w:rsid w:val="0050514C"/>
    <w:rsid w:val="00510D78"/>
    <w:rsid w:val="00512A87"/>
    <w:rsid w:val="00515DAE"/>
    <w:rsid w:val="005165ED"/>
    <w:rsid w:val="00517E5B"/>
    <w:rsid w:val="00520793"/>
    <w:rsid w:val="005255D9"/>
    <w:rsid w:val="00525B66"/>
    <w:rsid w:val="00526EB1"/>
    <w:rsid w:val="005272D1"/>
    <w:rsid w:val="00527EE0"/>
    <w:rsid w:val="00531957"/>
    <w:rsid w:val="00531D0D"/>
    <w:rsid w:val="00534865"/>
    <w:rsid w:val="00534A60"/>
    <w:rsid w:val="0054073A"/>
    <w:rsid w:val="005420FE"/>
    <w:rsid w:val="00542872"/>
    <w:rsid w:val="00544F38"/>
    <w:rsid w:val="0055121A"/>
    <w:rsid w:val="0055410F"/>
    <w:rsid w:val="00557B92"/>
    <w:rsid w:val="00561F4C"/>
    <w:rsid w:val="00566492"/>
    <w:rsid w:val="00566E36"/>
    <w:rsid w:val="005729A8"/>
    <w:rsid w:val="00575F1A"/>
    <w:rsid w:val="005802A0"/>
    <w:rsid w:val="005804AF"/>
    <w:rsid w:val="00581953"/>
    <w:rsid w:val="00583DE9"/>
    <w:rsid w:val="00587660"/>
    <w:rsid w:val="00591815"/>
    <w:rsid w:val="005934E1"/>
    <w:rsid w:val="005935C8"/>
    <w:rsid w:val="005A5CBB"/>
    <w:rsid w:val="005A6B2D"/>
    <w:rsid w:val="005A73E9"/>
    <w:rsid w:val="005B6644"/>
    <w:rsid w:val="005B72C3"/>
    <w:rsid w:val="005C0E77"/>
    <w:rsid w:val="005C53D0"/>
    <w:rsid w:val="005C6E26"/>
    <w:rsid w:val="005C6F30"/>
    <w:rsid w:val="005C73F5"/>
    <w:rsid w:val="005D2109"/>
    <w:rsid w:val="005D2FC0"/>
    <w:rsid w:val="005D45D6"/>
    <w:rsid w:val="005E082A"/>
    <w:rsid w:val="005E0CE6"/>
    <w:rsid w:val="005E39DB"/>
    <w:rsid w:val="005E5A3F"/>
    <w:rsid w:val="005F2930"/>
    <w:rsid w:val="005F3C1C"/>
    <w:rsid w:val="005F58F0"/>
    <w:rsid w:val="005F6C66"/>
    <w:rsid w:val="0060042E"/>
    <w:rsid w:val="00602857"/>
    <w:rsid w:val="006074BC"/>
    <w:rsid w:val="00611055"/>
    <w:rsid w:val="0061211C"/>
    <w:rsid w:val="00614273"/>
    <w:rsid w:val="00615751"/>
    <w:rsid w:val="00616529"/>
    <w:rsid w:val="006177F6"/>
    <w:rsid w:val="00621CE4"/>
    <w:rsid w:val="0062390A"/>
    <w:rsid w:val="00624603"/>
    <w:rsid w:val="006268A7"/>
    <w:rsid w:val="00626E76"/>
    <w:rsid w:val="0063058E"/>
    <w:rsid w:val="0063145F"/>
    <w:rsid w:val="0063484A"/>
    <w:rsid w:val="00636411"/>
    <w:rsid w:val="00641AEC"/>
    <w:rsid w:val="0064292C"/>
    <w:rsid w:val="0064330E"/>
    <w:rsid w:val="00653A73"/>
    <w:rsid w:val="00653D44"/>
    <w:rsid w:val="006540DC"/>
    <w:rsid w:val="00655AA4"/>
    <w:rsid w:val="0065736A"/>
    <w:rsid w:val="00657E5C"/>
    <w:rsid w:val="00661530"/>
    <w:rsid w:val="00664CDA"/>
    <w:rsid w:val="00665041"/>
    <w:rsid w:val="00666153"/>
    <w:rsid w:val="0067247D"/>
    <w:rsid w:val="00672805"/>
    <w:rsid w:val="00673338"/>
    <w:rsid w:val="00675176"/>
    <w:rsid w:val="00675DE1"/>
    <w:rsid w:val="00676A0C"/>
    <w:rsid w:val="0068221B"/>
    <w:rsid w:val="00684F01"/>
    <w:rsid w:val="0068552B"/>
    <w:rsid w:val="00685856"/>
    <w:rsid w:val="00692502"/>
    <w:rsid w:val="00693984"/>
    <w:rsid w:val="00695A72"/>
    <w:rsid w:val="006A226E"/>
    <w:rsid w:val="006A62D1"/>
    <w:rsid w:val="006B1B25"/>
    <w:rsid w:val="006B1E7B"/>
    <w:rsid w:val="006C05AB"/>
    <w:rsid w:val="006C3972"/>
    <w:rsid w:val="006C4418"/>
    <w:rsid w:val="006C7545"/>
    <w:rsid w:val="006D0500"/>
    <w:rsid w:val="006D189A"/>
    <w:rsid w:val="006D1F1B"/>
    <w:rsid w:val="006D77AA"/>
    <w:rsid w:val="006D7B98"/>
    <w:rsid w:val="006D7BF9"/>
    <w:rsid w:val="006D7CF2"/>
    <w:rsid w:val="006E1525"/>
    <w:rsid w:val="006E3735"/>
    <w:rsid w:val="006F085B"/>
    <w:rsid w:val="006F28B7"/>
    <w:rsid w:val="006F7B2C"/>
    <w:rsid w:val="007008F5"/>
    <w:rsid w:val="00705399"/>
    <w:rsid w:val="00710DC1"/>
    <w:rsid w:val="007118A9"/>
    <w:rsid w:val="00713EAA"/>
    <w:rsid w:val="007142A8"/>
    <w:rsid w:val="00714973"/>
    <w:rsid w:val="00715392"/>
    <w:rsid w:val="0072076B"/>
    <w:rsid w:val="00720E2C"/>
    <w:rsid w:val="00725A65"/>
    <w:rsid w:val="00726A54"/>
    <w:rsid w:val="00731FC9"/>
    <w:rsid w:val="00740D43"/>
    <w:rsid w:val="00742C18"/>
    <w:rsid w:val="00742CFA"/>
    <w:rsid w:val="00751FA0"/>
    <w:rsid w:val="00755125"/>
    <w:rsid w:val="00761E16"/>
    <w:rsid w:val="007647C4"/>
    <w:rsid w:val="00765CC9"/>
    <w:rsid w:val="00766D60"/>
    <w:rsid w:val="007720D7"/>
    <w:rsid w:val="0077618F"/>
    <w:rsid w:val="00777B23"/>
    <w:rsid w:val="007803F8"/>
    <w:rsid w:val="00781D8D"/>
    <w:rsid w:val="007830BC"/>
    <w:rsid w:val="00787080"/>
    <w:rsid w:val="00792831"/>
    <w:rsid w:val="007A0E72"/>
    <w:rsid w:val="007A36B5"/>
    <w:rsid w:val="007A4A1D"/>
    <w:rsid w:val="007A6D33"/>
    <w:rsid w:val="007B1C44"/>
    <w:rsid w:val="007B21BE"/>
    <w:rsid w:val="007B23C1"/>
    <w:rsid w:val="007B4FF2"/>
    <w:rsid w:val="007B612B"/>
    <w:rsid w:val="007C4534"/>
    <w:rsid w:val="007D4312"/>
    <w:rsid w:val="007D4D67"/>
    <w:rsid w:val="007D6359"/>
    <w:rsid w:val="007D71B6"/>
    <w:rsid w:val="007D7D05"/>
    <w:rsid w:val="007E103F"/>
    <w:rsid w:val="007E25B4"/>
    <w:rsid w:val="007E56F6"/>
    <w:rsid w:val="007E5F69"/>
    <w:rsid w:val="007E7061"/>
    <w:rsid w:val="007F0EDA"/>
    <w:rsid w:val="007F1CED"/>
    <w:rsid w:val="00800C8F"/>
    <w:rsid w:val="0080363B"/>
    <w:rsid w:val="00806AA7"/>
    <w:rsid w:val="00807036"/>
    <w:rsid w:val="00810FBF"/>
    <w:rsid w:val="00811AF0"/>
    <w:rsid w:val="008247D9"/>
    <w:rsid w:val="00825AB0"/>
    <w:rsid w:val="00825BAC"/>
    <w:rsid w:val="008333AC"/>
    <w:rsid w:val="00834767"/>
    <w:rsid w:val="00835FCD"/>
    <w:rsid w:val="00836BE8"/>
    <w:rsid w:val="00837988"/>
    <w:rsid w:val="0084492A"/>
    <w:rsid w:val="00845566"/>
    <w:rsid w:val="0085131F"/>
    <w:rsid w:val="00852857"/>
    <w:rsid w:val="00854632"/>
    <w:rsid w:val="00857868"/>
    <w:rsid w:val="0086028A"/>
    <w:rsid w:val="00861ECF"/>
    <w:rsid w:val="00865E95"/>
    <w:rsid w:val="00873BEF"/>
    <w:rsid w:val="00874C50"/>
    <w:rsid w:val="00875301"/>
    <w:rsid w:val="008848A0"/>
    <w:rsid w:val="00891467"/>
    <w:rsid w:val="00892937"/>
    <w:rsid w:val="00892D7C"/>
    <w:rsid w:val="008A4CC6"/>
    <w:rsid w:val="008A4E89"/>
    <w:rsid w:val="008A528D"/>
    <w:rsid w:val="008B477C"/>
    <w:rsid w:val="008B544D"/>
    <w:rsid w:val="008B5463"/>
    <w:rsid w:val="008B5A07"/>
    <w:rsid w:val="008C3CAC"/>
    <w:rsid w:val="008C4BE3"/>
    <w:rsid w:val="008C74DA"/>
    <w:rsid w:val="008D04D2"/>
    <w:rsid w:val="008D2083"/>
    <w:rsid w:val="008D5210"/>
    <w:rsid w:val="008D7296"/>
    <w:rsid w:val="008E042F"/>
    <w:rsid w:val="008E32FD"/>
    <w:rsid w:val="008E61F8"/>
    <w:rsid w:val="008F3364"/>
    <w:rsid w:val="008F61D5"/>
    <w:rsid w:val="008F71C2"/>
    <w:rsid w:val="008F7567"/>
    <w:rsid w:val="00900FC9"/>
    <w:rsid w:val="009019E7"/>
    <w:rsid w:val="009045FA"/>
    <w:rsid w:val="00911E3D"/>
    <w:rsid w:val="009122BA"/>
    <w:rsid w:val="0091296E"/>
    <w:rsid w:val="00914BF3"/>
    <w:rsid w:val="00920CF8"/>
    <w:rsid w:val="00922F9A"/>
    <w:rsid w:val="00925032"/>
    <w:rsid w:val="00925D4C"/>
    <w:rsid w:val="00935BDA"/>
    <w:rsid w:val="009415AF"/>
    <w:rsid w:val="00942DFA"/>
    <w:rsid w:val="00944F2D"/>
    <w:rsid w:val="00951C2D"/>
    <w:rsid w:val="009527C2"/>
    <w:rsid w:val="0095596D"/>
    <w:rsid w:val="009561C3"/>
    <w:rsid w:val="00956812"/>
    <w:rsid w:val="0096075D"/>
    <w:rsid w:val="00961ED9"/>
    <w:rsid w:val="00962A62"/>
    <w:rsid w:val="00970609"/>
    <w:rsid w:val="00971AC1"/>
    <w:rsid w:val="00971D59"/>
    <w:rsid w:val="0097308F"/>
    <w:rsid w:val="00975511"/>
    <w:rsid w:val="00981D1D"/>
    <w:rsid w:val="00982221"/>
    <w:rsid w:val="00984559"/>
    <w:rsid w:val="00984676"/>
    <w:rsid w:val="00984A84"/>
    <w:rsid w:val="00985D11"/>
    <w:rsid w:val="009870B6"/>
    <w:rsid w:val="00996592"/>
    <w:rsid w:val="00996D54"/>
    <w:rsid w:val="009A25EE"/>
    <w:rsid w:val="009A4E00"/>
    <w:rsid w:val="009A4FDA"/>
    <w:rsid w:val="009A7700"/>
    <w:rsid w:val="009A7F5D"/>
    <w:rsid w:val="009B44FD"/>
    <w:rsid w:val="009B7707"/>
    <w:rsid w:val="009C02E0"/>
    <w:rsid w:val="009C1128"/>
    <w:rsid w:val="009C1B31"/>
    <w:rsid w:val="009C1C8C"/>
    <w:rsid w:val="009C625C"/>
    <w:rsid w:val="009C6DE4"/>
    <w:rsid w:val="009C7466"/>
    <w:rsid w:val="009C7C5D"/>
    <w:rsid w:val="009D25F6"/>
    <w:rsid w:val="009D3D39"/>
    <w:rsid w:val="009D4082"/>
    <w:rsid w:val="009D7234"/>
    <w:rsid w:val="009D72E0"/>
    <w:rsid w:val="009E0F81"/>
    <w:rsid w:val="009E5F95"/>
    <w:rsid w:val="009F2FD8"/>
    <w:rsid w:val="009F3B46"/>
    <w:rsid w:val="009F78EC"/>
    <w:rsid w:val="00A01D78"/>
    <w:rsid w:val="00A02700"/>
    <w:rsid w:val="00A0704D"/>
    <w:rsid w:val="00A11750"/>
    <w:rsid w:val="00A16566"/>
    <w:rsid w:val="00A1688A"/>
    <w:rsid w:val="00A17DBF"/>
    <w:rsid w:val="00A20476"/>
    <w:rsid w:val="00A20528"/>
    <w:rsid w:val="00A22273"/>
    <w:rsid w:val="00A236EC"/>
    <w:rsid w:val="00A256E4"/>
    <w:rsid w:val="00A2704B"/>
    <w:rsid w:val="00A35F2E"/>
    <w:rsid w:val="00A416A3"/>
    <w:rsid w:val="00A43D87"/>
    <w:rsid w:val="00A43E3F"/>
    <w:rsid w:val="00A43F2B"/>
    <w:rsid w:val="00A44155"/>
    <w:rsid w:val="00A5009C"/>
    <w:rsid w:val="00A504F8"/>
    <w:rsid w:val="00A64350"/>
    <w:rsid w:val="00A666D3"/>
    <w:rsid w:val="00A76E13"/>
    <w:rsid w:val="00A809BC"/>
    <w:rsid w:val="00A82449"/>
    <w:rsid w:val="00A85CEE"/>
    <w:rsid w:val="00A900D4"/>
    <w:rsid w:val="00A92752"/>
    <w:rsid w:val="00A9361B"/>
    <w:rsid w:val="00A9430B"/>
    <w:rsid w:val="00AA065E"/>
    <w:rsid w:val="00AA09D9"/>
    <w:rsid w:val="00AA2E87"/>
    <w:rsid w:val="00AA4B7F"/>
    <w:rsid w:val="00AB1F74"/>
    <w:rsid w:val="00AB7356"/>
    <w:rsid w:val="00AC4B6F"/>
    <w:rsid w:val="00AD22B0"/>
    <w:rsid w:val="00AD30F5"/>
    <w:rsid w:val="00AD38C5"/>
    <w:rsid w:val="00AD750C"/>
    <w:rsid w:val="00AD79B8"/>
    <w:rsid w:val="00AE0AB9"/>
    <w:rsid w:val="00AE2724"/>
    <w:rsid w:val="00AE3238"/>
    <w:rsid w:val="00AE7726"/>
    <w:rsid w:val="00AF44A6"/>
    <w:rsid w:val="00AF742C"/>
    <w:rsid w:val="00AF7A87"/>
    <w:rsid w:val="00B00AE6"/>
    <w:rsid w:val="00B00FDC"/>
    <w:rsid w:val="00B04D0A"/>
    <w:rsid w:val="00B055C1"/>
    <w:rsid w:val="00B070F3"/>
    <w:rsid w:val="00B07B65"/>
    <w:rsid w:val="00B10CDC"/>
    <w:rsid w:val="00B14D8D"/>
    <w:rsid w:val="00B20ABD"/>
    <w:rsid w:val="00B23E17"/>
    <w:rsid w:val="00B25E4E"/>
    <w:rsid w:val="00B30E1F"/>
    <w:rsid w:val="00B315AB"/>
    <w:rsid w:val="00B3324C"/>
    <w:rsid w:val="00B36B04"/>
    <w:rsid w:val="00B36B50"/>
    <w:rsid w:val="00B36E7A"/>
    <w:rsid w:val="00B414BA"/>
    <w:rsid w:val="00B42BDA"/>
    <w:rsid w:val="00B437B2"/>
    <w:rsid w:val="00B44329"/>
    <w:rsid w:val="00B44B18"/>
    <w:rsid w:val="00B458B2"/>
    <w:rsid w:val="00B45EB7"/>
    <w:rsid w:val="00B4791F"/>
    <w:rsid w:val="00B517A2"/>
    <w:rsid w:val="00B52707"/>
    <w:rsid w:val="00B55716"/>
    <w:rsid w:val="00B57E09"/>
    <w:rsid w:val="00B653EB"/>
    <w:rsid w:val="00B7059B"/>
    <w:rsid w:val="00B7488A"/>
    <w:rsid w:val="00B831B1"/>
    <w:rsid w:val="00B84415"/>
    <w:rsid w:val="00B84B15"/>
    <w:rsid w:val="00B84C2D"/>
    <w:rsid w:val="00B84E03"/>
    <w:rsid w:val="00B85152"/>
    <w:rsid w:val="00B85D56"/>
    <w:rsid w:val="00B90BFE"/>
    <w:rsid w:val="00B9185C"/>
    <w:rsid w:val="00B95B91"/>
    <w:rsid w:val="00BA1B41"/>
    <w:rsid w:val="00BA5C17"/>
    <w:rsid w:val="00BA623A"/>
    <w:rsid w:val="00BB1A33"/>
    <w:rsid w:val="00BB24E2"/>
    <w:rsid w:val="00BB34CB"/>
    <w:rsid w:val="00BC08E6"/>
    <w:rsid w:val="00BC1B78"/>
    <w:rsid w:val="00BC2E24"/>
    <w:rsid w:val="00BC2FEF"/>
    <w:rsid w:val="00BC3E85"/>
    <w:rsid w:val="00BC4C0A"/>
    <w:rsid w:val="00BC74AB"/>
    <w:rsid w:val="00BD051B"/>
    <w:rsid w:val="00BD0E3C"/>
    <w:rsid w:val="00BD2174"/>
    <w:rsid w:val="00BD2786"/>
    <w:rsid w:val="00BD3783"/>
    <w:rsid w:val="00BD4955"/>
    <w:rsid w:val="00BD58A1"/>
    <w:rsid w:val="00BE2BE5"/>
    <w:rsid w:val="00BE3F7C"/>
    <w:rsid w:val="00BE4332"/>
    <w:rsid w:val="00BE5A9B"/>
    <w:rsid w:val="00BE741A"/>
    <w:rsid w:val="00BF3181"/>
    <w:rsid w:val="00BF370C"/>
    <w:rsid w:val="00BF47D0"/>
    <w:rsid w:val="00BF7E99"/>
    <w:rsid w:val="00C0107F"/>
    <w:rsid w:val="00C0693F"/>
    <w:rsid w:val="00C0789A"/>
    <w:rsid w:val="00C13502"/>
    <w:rsid w:val="00C1499B"/>
    <w:rsid w:val="00C151E8"/>
    <w:rsid w:val="00C23349"/>
    <w:rsid w:val="00C26D8E"/>
    <w:rsid w:val="00C26F35"/>
    <w:rsid w:val="00C27337"/>
    <w:rsid w:val="00C321C3"/>
    <w:rsid w:val="00C37928"/>
    <w:rsid w:val="00C433D8"/>
    <w:rsid w:val="00C45B7D"/>
    <w:rsid w:val="00C5248E"/>
    <w:rsid w:val="00C5303C"/>
    <w:rsid w:val="00C5457F"/>
    <w:rsid w:val="00C5622D"/>
    <w:rsid w:val="00C56AB6"/>
    <w:rsid w:val="00C570AA"/>
    <w:rsid w:val="00C60557"/>
    <w:rsid w:val="00C62637"/>
    <w:rsid w:val="00C62BA7"/>
    <w:rsid w:val="00C6531C"/>
    <w:rsid w:val="00C7165A"/>
    <w:rsid w:val="00C73552"/>
    <w:rsid w:val="00C75723"/>
    <w:rsid w:val="00C75B10"/>
    <w:rsid w:val="00C7709E"/>
    <w:rsid w:val="00C81315"/>
    <w:rsid w:val="00C8194E"/>
    <w:rsid w:val="00C87240"/>
    <w:rsid w:val="00C8765C"/>
    <w:rsid w:val="00C9010D"/>
    <w:rsid w:val="00C903F3"/>
    <w:rsid w:val="00C9280E"/>
    <w:rsid w:val="00C9285D"/>
    <w:rsid w:val="00C928E2"/>
    <w:rsid w:val="00C977C2"/>
    <w:rsid w:val="00CA404B"/>
    <w:rsid w:val="00CA5DA0"/>
    <w:rsid w:val="00CB16A2"/>
    <w:rsid w:val="00CB221F"/>
    <w:rsid w:val="00CB3DD3"/>
    <w:rsid w:val="00CB6361"/>
    <w:rsid w:val="00CC022A"/>
    <w:rsid w:val="00CC111D"/>
    <w:rsid w:val="00CC1AEB"/>
    <w:rsid w:val="00CC5230"/>
    <w:rsid w:val="00CC5A06"/>
    <w:rsid w:val="00CC7118"/>
    <w:rsid w:val="00CD6CB5"/>
    <w:rsid w:val="00CE07D7"/>
    <w:rsid w:val="00CE0E6C"/>
    <w:rsid w:val="00CE32AD"/>
    <w:rsid w:val="00CE4F4E"/>
    <w:rsid w:val="00CF5A1D"/>
    <w:rsid w:val="00D0430B"/>
    <w:rsid w:val="00D0686C"/>
    <w:rsid w:val="00D10F71"/>
    <w:rsid w:val="00D11A6A"/>
    <w:rsid w:val="00D16C5E"/>
    <w:rsid w:val="00D20715"/>
    <w:rsid w:val="00D2172A"/>
    <w:rsid w:val="00D2365B"/>
    <w:rsid w:val="00D238F2"/>
    <w:rsid w:val="00D27CE8"/>
    <w:rsid w:val="00D31F60"/>
    <w:rsid w:val="00D32413"/>
    <w:rsid w:val="00D32BAD"/>
    <w:rsid w:val="00D339D5"/>
    <w:rsid w:val="00D357EF"/>
    <w:rsid w:val="00D36E07"/>
    <w:rsid w:val="00D45D44"/>
    <w:rsid w:val="00D50E92"/>
    <w:rsid w:val="00D51A57"/>
    <w:rsid w:val="00D52F2E"/>
    <w:rsid w:val="00D55158"/>
    <w:rsid w:val="00D63E22"/>
    <w:rsid w:val="00D6503F"/>
    <w:rsid w:val="00D65896"/>
    <w:rsid w:val="00D74829"/>
    <w:rsid w:val="00D75FB0"/>
    <w:rsid w:val="00D77618"/>
    <w:rsid w:val="00D806C5"/>
    <w:rsid w:val="00D83DF1"/>
    <w:rsid w:val="00D87ADD"/>
    <w:rsid w:val="00D917B4"/>
    <w:rsid w:val="00D91F5C"/>
    <w:rsid w:val="00D9271A"/>
    <w:rsid w:val="00D93CF2"/>
    <w:rsid w:val="00D94BB4"/>
    <w:rsid w:val="00DA0833"/>
    <w:rsid w:val="00DA0D07"/>
    <w:rsid w:val="00DA2E4A"/>
    <w:rsid w:val="00DA32B8"/>
    <w:rsid w:val="00DA33AF"/>
    <w:rsid w:val="00DA6D81"/>
    <w:rsid w:val="00DB307D"/>
    <w:rsid w:val="00DB33F0"/>
    <w:rsid w:val="00DB3570"/>
    <w:rsid w:val="00DB53B0"/>
    <w:rsid w:val="00DB5402"/>
    <w:rsid w:val="00DB5A17"/>
    <w:rsid w:val="00DB5EB9"/>
    <w:rsid w:val="00DC0838"/>
    <w:rsid w:val="00DC467C"/>
    <w:rsid w:val="00DD3D5B"/>
    <w:rsid w:val="00DD608E"/>
    <w:rsid w:val="00DE0508"/>
    <w:rsid w:val="00DE697D"/>
    <w:rsid w:val="00DF4D1A"/>
    <w:rsid w:val="00DF5056"/>
    <w:rsid w:val="00DF65DF"/>
    <w:rsid w:val="00E018A2"/>
    <w:rsid w:val="00E02E5D"/>
    <w:rsid w:val="00E03EA1"/>
    <w:rsid w:val="00E04EF9"/>
    <w:rsid w:val="00E0694D"/>
    <w:rsid w:val="00E079F3"/>
    <w:rsid w:val="00E10E62"/>
    <w:rsid w:val="00E14EAC"/>
    <w:rsid w:val="00E15F7F"/>
    <w:rsid w:val="00E16248"/>
    <w:rsid w:val="00E17911"/>
    <w:rsid w:val="00E20BAB"/>
    <w:rsid w:val="00E225D2"/>
    <w:rsid w:val="00E23AD5"/>
    <w:rsid w:val="00E245B8"/>
    <w:rsid w:val="00E27E23"/>
    <w:rsid w:val="00E327FA"/>
    <w:rsid w:val="00E33917"/>
    <w:rsid w:val="00E405F6"/>
    <w:rsid w:val="00E4283D"/>
    <w:rsid w:val="00E42C77"/>
    <w:rsid w:val="00E44989"/>
    <w:rsid w:val="00E44A9D"/>
    <w:rsid w:val="00E45772"/>
    <w:rsid w:val="00E4597C"/>
    <w:rsid w:val="00E47563"/>
    <w:rsid w:val="00E55166"/>
    <w:rsid w:val="00E56507"/>
    <w:rsid w:val="00E6374D"/>
    <w:rsid w:val="00E7139F"/>
    <w:rsid w:val="00E716E1"/>
    <w:rsid w:val="00E736B9"/>
    <w:rsid w:val="00E75503"/>
    <w:rsid w:val="00E76AFF"/>
    <w:rsid w:val="00E77E89"/>
    <w:rsid w:val="00E800B7"/>
    <w:rsid w:val="00E91151"/>
    <w:rsid w:val="00E943ED"/>
    <w:rsid w:val="00E94FDB"/>
    <w:rsid w:val="00EA1ECF"/>
    <w:rsid w:val="00EA2151"/>
    <w:rsid w:val="00EA4BC6"/>
    <w:rsid w:val="00EA529F"/>
    <w:rsid w:val="00EB059A"/>
    <w:rsid w:val="00EB0B74"/>
    <w:rsid w:val="00EB310B"/>
    <w:rsid w:val="00EB41EF"/>
    <w:rsid w:val="00EB4892"/>
    <w:rsid w:val="00EB7A03"/>
    <w:rsid w:val="00EC04F8"/>
    <w:rsid w:val="00EC2593"/>
    <w:rsid w:val="00ED4DEA"/>
    <w:rsid w:val="00ED4FAD"/>
    <w:rsid w:val="00ED522F"/>
    <w:rsid w:val="00ED5D52"/>
    <w:rsid w:val="00ED5D98"/>
    <w:rsid w:val="00ED6EB9"/>
    <w:rsid w:val="00EE0BBB"/>
    <w:rsid w:val="00EE14CE"/>
    <w:rsid w:val="00EE4243"/>
    <w:rsid w:val="00EE4E34"/>
    <w:rsid w:val="00EF3BDB"/>
    <w:rsid w:val="00EF7C88"/>
    <w:rsid w:val="00F007DB"/>
    <w:rsid w:val="00F01A98"/>
    <w:rsid w:val="00F0332C"/>
    <w:rsid w:val="00F06C35"/>
    <w:rsid w:val="00F07E63"/>
    <w:rsid w:val="00F1467A"/>
    <w:rsid w:val="00F15489"/>
    <w:rsid w:val="00F16531"/>
    <w:rsid w:val="00F22310"/>
    <w:rsid w:val="00F32B0C"/>
    <w:rsid w:val="00F355F9"/>
    <w:rsid w:val="00F359CE"/>
    <w:rsid w:val="00F405F6"/>
    <w:rsid w:val="00F43A3E"/>
    <w:rsid w:val="00F45499"/>
    <w:rsid w:val="00F46EFC"/>
    <w:rsid w:val="00F472AE"/>
    <w:rsid w:val="00F5284F"/>
    <w:rsid w:val="00F5352B"/>
    <w:rsid w:val="00F54727"/>
    <w:rsid w:val="00F65BFA"/>
    <w:rsid w:val="00F8399F"/>
    <w:rsid w:val="00F841E4"/>
    <w:rsid w:val="00F8614A"/>
    <w:rsid w:val="00F86D31"/>
    <w:rsid w:val="00F87289"/>
    <w:rsid w:val="00FA169A"/>
    <w:rsid w:val="00FA34D7"/>
    <w:rsid w:val="00FA3E46"/>
    <w:rsid w:val="00FA4911"/>
    <w:rsid w:val="00FA73AA"/>
    <w:rsid w:val="00FC11EE"/>
    <w:rsid w:val="00FC1A96"/>
    <w:rsid w:val="00FC209E"/>
    <w:rsid w:val="00FC6E98"/>
    <w:rsid w:val="00FD1180"/>
    <w:rsid w:val="00FD4483"/>
    <w:rsid w:val="00FD7412"/>
    <w:rsid w:val="00FE3534"/>
    <w:rsid w:val="00FE3A93"/>
    <w:rsid w:val="00FE643B"/>
    <w:rsid w:val="00FF2959"/>
    <w:rsid w:val="00FF4EB1"/>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419BD8"/>
  <w15:docId w15:val="{AC1BA4A5-A32F-4936-8E7B-BF953CF2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character" w:styleId="UnresolvedMention">
    <w:name w:val="Unresolved Mention"/>
    <w:basedOn w:val="DefaultParagraphFont"/>
    <w:uiPriority w:val="99"/>
    <w:semiHidden/>
    <w:unhideWhenUsed/>
    <w:rsid w:val="00DA2E4A"/>
    <w:rPr>
      <w:color w:val="605E5C"/>
      <w:shd w:val="clear" w:color="auto" w:fill="E1DFDD"/>
    </w:rPr>
  </w:style>
  <w:style w:type="paragraph" w:styleId="ListParagraph">
    <w:name w:val="List Paragraph"/>
    <w:basedOn w:val="Normal"/>
    <w:uiPriority w:val="34"/>
    <w:qFormat/>
    <w:rsid w:val="00806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oaiss.state.pa.us/HR-Pay_Help_Desk/Login.asp"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2262C9143742D5B8A5A8F68625311C"/>
        <w:category>
          <w:name w:val="General"/>
          <w:gallery w:val="placeholder"/>
        </w:category>
        <w:types>
          <w:type w:val="bbPlcHdr"/>
        </w:types>
        <w:behaviors>
          <w:behavior w:val="content"/>
        </w:behaviors>
        <w:guid w:val="{CCA44BBF-A53C-4C9C-86BF-F5B7803BA4C7}"/>
      </w:docPartPr>
      <w:docPartBody>
        <w:p w:rsidR="00220A12" w:rsidRDefault="00220A12">
          <w:pPr>
            <w:pStyle w:val="D32262C9143742D5B8A5A8F68625311C"/>
          </w:pPr>
          <w:r w:rsidRPr="00521103">
            <w:rPr>
              <w:rStyle w:val="PlaceholderText"/>
            </w:rPr>
            <w:t>[Title]</w:t>
          </w:r>
        </w:p>
      </w:docPartBody>
    </w:docPart>
    <w:docPart>
      <w:docPartPr>
        <w:name w:val="D1DBB4FE9B6345BB8ED9EA40577CFE92"/>
        <w:category>
          <w:name w:val="General"/>
          <w:gallery w:val="placeholder"/>
        </w:category>
        <w:types>
          <w:type w:val="bbPlcHdr"/>
        </w:types>
        <w:behaviors>
          <w:behavior w:val="content"/>
        </w:behaviors>
        <w:guid w:val="{9F1BD0A1-5EC9-4674-8A74-6DB1C2D1ADF7}"/>
      </w:docPartPr>
      <w:docPartBody>
        <w:p w:rsidR="00220A12" w:rsidRDefault="00220A12">
          <w:pPr>
            <w:pStyle w:val="D1DBB4FE9B6345BB8ED9EA40577CFE92"/>
          </w:pPr>
          <w:r w:rsidRPr="00521103">
            <w:rPr>
              <w:rStyle w:val="PlaceholderText"/>
            </w:rPr>
            <w:t>[Subject]</w:t>
          </w:r>
        </w:p>
      </w:docPartBody>
    </w:docPart>
    <w:docPart>
      <w:docPartPr>
        <w:name w:val="CE371D3513324C21B3AD639EFE53F39F"/>
        <w:category>
          <w:name w:val="General"/>
          <w:gallery w:val="placeholder"/>
        </w:category>
        <w:types>
          <w:type w:val="bbPlcHdr"/>
        </w:types>
        <w:behaviors>
          <w:behavior w:val="content"/>
        </w:behaviors>
        <w:guid w:val="{024A837D-836C-4EBA-ACF7-BCDFC47073E1}"/>
      </w:docPartPr>
      <w:docPartBody>
        <w:p w:rsidR="00220A12" w:rsidRDefault="00220A12">
          <w:pPr>
            <w:pStyle w:val="CE371D3513324C21B3AD639EFE53F39F"/>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2"/>
    <w:rsid w:val="00044F9E"/>
    <w:rsid w:val="000738D5"/>
    <w:rsid w:val="00220A12"/>
    <w:rsid w:val="003323C4"/>
    <w:rsid w:val="004668A4"/>
    <w:rsid w:val="004C64E5"/>
    <w:rsid w:val="004E6CB4"/>
    <w:rsid w:val="00720ACF"/>
    <w:rsid w:val="00776CC7"/>
    <w:rsid w:val="00813386"/>
    <w:rsid w:val="00833918"/>
    <w:rsid w:val="00854161"/>
    <w:rsid w:val="00875D82"/>
    <w:rsid w:val="008D2F10"/>
    <w:rsid w:val="00994B7E"/>
    <w:rsid w:val="00A7140F"/>
    <w:rsid w:val="00AE1A6A"/>
    <w:rsid w:val="00BE0890"/>
    <w:rsid w:val="00C36B16"/>
    <w:rsid w:val="00DF3EE8"/>
    <w:rsid w:val="00E00ACC"/>
    <w:rsid w:val="00F77D72"/>
    <w:rsid w:val="00F9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D32262C9143742D5B8A5A8F68625311C">
    <w:name w:val="D32262C9143742D5B8A5A8F68625311C"/>
  </w:style>
  <w:style w:type="paragraph" w:customStyle="1" w:styleId="D1DBB4FE9B6345BB8ED9EA40577CFE92">
    <w:name w:val="D1DBB4FE9B6345BB8ED9EA40577CFE92"/>
  </w:style>
  <w:style w:type="paragraph" w:customStyle="1" w:styleId="CE371D3513324C21B3AD639EFE53F39F">
    <w:name w:val="CE371D3513324C21B3AD639EFE53F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9782B-0952-4EB6-8C34-36597AC0330B}">
  <ds:schemaRefs>
    <ds:schemaRef ds:uri="http://schemas.openxmlformats.org/officeDocument/2006/bibliography"/>
  </ds:schemaRefs>
</ds:datastoreItem>
</file>

<file path=customXml/itemProps2.xml><?xml version="1.0" encoding="utf-8"?>
<ds:datastoreItem xmlns:ds="http://schemas.openxmlformats.org/officeDocument/2006/customXml" ds:itemID="{488ACE61-CF83-4E22-A5C4-040D653AF6CF}">
  <ds:schemaRefs>
    <ds:schemaRef ds:uri="http://schemas.microsoft.com/sharepoint/v3/contenttype/forms"/>
  </ds:schemaRefs>
</ds:datastoreItem>
</file>

<file path=customXml/itemProps3.xml><?xml version="1.0" encoding="utf-8"?>
<ds:datastoreItem xmlns:ds="http://schemas.openxmlformats.org/officeDocument/2006/customXml" ds:itemID="{193003C4-3E63-4727-B18A-63C9323E61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1ACBC2-DDE7-4A41-AFEB-A719DD15576C}"/>
</file>

<file path=docProps/app.xml><?xml version="1.0" encoding="utf-8"?>
<Properties xmlns="http://schemas.openxmlformats.org/officeDocument/2006/extended-properties" xmlns:vt="http://schemas.openxmlformats.org/officeDocument/2006/docPropsVTypes">
  <Template>Normal</Template>
  <TotalTime>54</TotalTime>
  <Pages>4</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November 2020 NEOGOV Enhancements</vt:lpstr>
    </vt:vector>
  </TitlesOfParts>
  <Company>Office of Administration</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NEOGOV Enhancements</dc:title>
  <dc:subject>Information regarding the November 2020 release of enhancements to the NEOGOV Applicant Tracking System.</dc:subject>
  <dc:creator>Rummel, Jordan</dc:creator>
  <cp:keywords>Description, Keywords, Operations, Personnel Administration</cp:keywords>
  <dc:description/>
  <cp:lastModifiedBy>Rummel, Jordan</cp:lastModifiedBy>
  <cp:revision>87</cp:revision>
  <cp:lastPrinted>2011-02-25T13:44:00Z</cp:lastPrinted>
  <dcterms:created xsi:type="dcterms:W3CDTF">2020-11-12T12:59:00Z</dcterms:created>
  <dcterms:modified xsi:type="dcterms:W3CDTF">2020-11-12T14:47:00Z</dcterms:modified>
  <cp:category>Talent Acquisition Alert</cp:category>
  <cp:contentStatus>2020-13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