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B9C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Hlk23331533"/>
      <w:bookmarkEnd w:id="0"/>
    </w:p>
    <w:p w14:paraId="44B0C94E" w14:textId="30543881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</w:t>
      </w:r>
      <w:r w:rsidR="00EA2151">
        <w:rPr>
          <w:rFonts w:ascii="Verdana" w:hAnsi="Verdana" w:cs="Verdana"/>
          <w:b/>
          <w:bCs/>
          <w:i/>
          <w:iCs/>
          <w:sz w:val="20"/>
          <w:szCs w:val="20"/>
        </w:rPr>
        <w:t xml:space="preserve">Insight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users within your agency who </w:t>
      </w:r>
      <w:r w:rsidR="00187086">
        <w:rPr>
          <w:rFonts w:ascii="Verdana" w:hAnsi="Verdana" w:cs="Verdana"/>
          <w:b/>
          <w:bCs/>
          <w:i/>
          <w:iCs/>
          <w:sz w:val="20"/>
          <w:szCs w:val="20"/>
        </w:rPr>
        <w:t>use the</w:t>
      </w:r>
      <w:r w:rsidR="00BA1B41">
        <w:rPr>
          <w:rFonts w:ascii="Verdana" w:hAnsi="Verdana" w:cs="Verdana"/>
          <w:b/>
          <w:bCs/>
          <w:i/>
          <w:iCs/>
          <w:sz w:val="20"/>
          <w:szCs w:val="20"/>
        </w:rPr>
        <w:t xml:space="preserve"> NEOGOV</w:t>
      </w:r>
      <w:r w:rsidR="001B7158">
        <w:rPr>
          <w:rFonts w:ascii="Verdana" w:hAnsi="Verdana" w:cs="Verdana"/>
          <w:b/>
          <w:bCs/>
          <w:i/>
          <w:iCs/>
          <w:sz w:val="20"/>
          <w:szCs w:val="20"/>
        </w:rPr>
        <w:t>, Applicant Tracking System</w:t>
      </w:r>
      <w:r w:rsidR="000E28F3">
        <w:rPr>
          <w:rFonts w:ascii="Verdana" w:hAnsi="Verdana" w:cs="Verdana"/>
          <w:b/>
          <w:bCs/>
          <w:i/>
          <w:iCs/>
          <w:sz w:val="20"/>
          <w:szCs w:val="20"/>
        </w:rPr>
        <w:t xml:space="preserve"> on a regular basis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D279026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1D1E158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6BBE90C8" w14:textId="35E5683C" w:rsidR="00377242" w:rsidRPr="009C625C" w:rsidRDefault="003C059B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D32262C9143742D5B8A5A8F6862531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10F71">
            <w:rPr>
              <w:rFonts w:ascii="Verdana" w:hAnsi="Verdana" w:cs="Verdana"/>
              <w:b/>
              <w:sz w:val="20"/>
              <w:szCs w:val="20"/>
            </w:rPr>
            <w:t>December</w:t>
          </w:r>
          <w:r w:rsidR="00512A87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BA1B41">
            <w:rPr>
              <w:rFonts w:ascii="Verdana" w:hAnsi="Verdana" w:cs="Verdana"/>
              <w:b/>
              <w:sz w:val="20"/>
              <w:szCs w:val="20"/>
            </w:rPr>
            <w:t>2019 NEOGOV Enhancements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08C5421F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1286543D" w14:textId="299A89B7" w:rsidR="00377242" w:rsidRPr="009C625C" w:rsidRDefault="003C059B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1DBB4FE9B6345BB8ED9EA40577CFE9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87086" w:rsidRPr="009C625C">
            <w:rPr>
              <w:rFonts w:ascii="Verdana" w:hAnsi="Verdana" w:cs="Verdana"/>
              <w:sz w:val="20"/>
              <w:szCs w:val="20"/>
            </w:rPr>
            <w:t>Information regardin</w:t>
          </w:r>
          <w:r w:rsidR="00187086">
            <w:rPr>
              <w:rFonts w:ascii="Verdana" w:hAnsi="Verdana" w:cs="Verdana"/>
              <w:sz w:val="20"/>
              <w:szCs w:val="20"/>
            </w:rPr>
            <w:t>g the</w:t>
          </w:r>
          <w:r w:rsidR="002C27FD">
            <w:rPr>
              <w:rFonts w:ascii="Verdana" w:hAnsi="Verdana" w:cs="Verdana"/>
              <w:sz w:val="20"/>
              <w:szCs w:val="20"/>
            </w:rPr>
            <w:t xml:space="preserve"> </w:t>
          </w:r>
          <w:r w:rsidR="00D10F71">
            <w:rPr>
              <w:rFonts w:ascii="Verdana" w:hAnsi="Verdana" w:cs="Verdana"/>
              <w:sz w:val="20"/>
              <w:szCs w:val="20"/>
            </w:rPr>
            <w:t xml:space="preserve">December </w:t>
          </w:r>
          <w:r w:rsidR="00187086">
            <w:rPr>
              <w:rFonts w:ascii="Verdana" w:hAnsi="Verdana" w:cs="Verdana"/>
              <w:sz w:val="20"/>
              <w:szCs w:val="20"/>
            </w:rPr>
            <w:t>2019 release of enhancements to the NEOGOV Applicant Tracking System.</w:t>
          </w:r>
        </w:sdtContent>
      </w:sdt>
    </w:p>
    <w:p w14:paraId="465A6BBF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64685367" w14:textId="77777777" w:rsidR="00455148" w:rsidRDefault="00455148" w:rsidP="00E56507">
      <w:pPr>
        <w:rPr>
          <w:rFonts w:ascii="Verdana" w:hAnsi="Verdana" w:cs="Verdana"/>
          <w:sz w:val="20"/>
          <w:szCs w:val="20"/>
        </w:rPr>
      </w:pPr>
    </w:p>
    <w:p w14:paraId="07412AB6" w14:textId="50CA3B8B" w:rsidR="00400CE7" w:rsidRDefault="00EB7A03" w:rsidP="00C433D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</w:t>
      </w:r>
      <w:r w:rsidR="00160FAD">
        <w:rPr>
          <w:rFonts w:ascii="Verdana" w:hAnsi="Verdana" w:cs="Verdana"/>
          <w:sz w:val="20"/>
          <w:szCs w:val="20"/>
        </w:rPr>
        <w:t xml:space="preserve"> following </w:t>
      </w:r>
      <w:r w:rsidR="003027DA">
        <w:rPr>
          <w:rFonts w:ascii="Verdana" w:hAnsi="Verdana" w:cs="Verdana"/>
          <w:sz w:val="20"/>
          <w:szCs w:val="20"/>
        </w:rPr>
        <w:t xml:space="preserve">enhancements were released </w:t>
      </w:r>
      <w:r w:rsidR="009122BA">
        <w:rPr>
          <w:rFonts w:ascii="Verdana" w:hAnsi="Verdana" w:cs="Verdana"/>
          <w:sz w:val="20"/>
          <w:szCs w:val="20"/>
        </w:rPr>
        <w:t xml:space="preserve">to Insight in </w:t>
      </w:r>
      <w:r w:rsidR="00D10F71">
        <w:rPr>
          <w:rFonts w:ascii="Verdana" w:hAnsi="Verdana" w:cs="Verdana"/>
          <w:sz w:val="20"/>
          <w:szCs w:val="20"/>
        </w:rPr>
        <w:t xml:space="preserve">December </w:t>
      </w:r>
      <w:r w:rsidR="009122BA">
        <w:rPr>
          <w:rFonts w:ascii="Verdana" w:hAnsi="Verdana" w:cs="Verdana"/>
          <w:sz w:val="20"/>
          <w:szCs w:val="20"/>
        </w:rPr>
        <w:t>2019 and are available to all Insight users</w:t>
      </w:r>
      <w:r w:rsidR="00160FAD">
        <w:rPr>
          <w:rFonts w:ascii="Verdana" w:hAnsi="Verdana" w:cs="Verdana"/>
          <w:sz w:val="20"/>
          <w:szCs w:val="20"/>
        </w:rPr>
        <w:t>:</w:t>
      </w:r>
    </w:p>
    <w:p w14:paraId="140B0F58" w14:textId="77777777" w:rsidR="00DF5056" w:rsidRDefault="00DF5056" w:rsidP="00C433D8">
      <w:pPr>
        <w:rPr>
          <w:rFonts w:ascii="Verdana" w:hAnsi="Verdana" w:cs="Verdana"/>
          <w:sz w:val="20"/>
          <w:szCs w:val="20"/>
        </w:rPr>
      </w:pPr>
    </w:p>
    <w:p w14:paraId="0A105CE5" w14:textId="7C0280CC" w:rsidR="00B55716" w:rsidRDefault="003027DA" w:rsidP="00FF4EB1">
      <w:pPr>
        <w:rPr>
          <w:rFonts w:ascii="Verdana" w:hAnsi="Verdana" w:cs="Verdana"/>
          <w:b/>
          <w:bCs/>
          <w:sz w:val="20"/>
          <w:szCs w:val="20"/>
        </w:rPr>
      </w:pPr>
      <w:r w:rsidRPr="00A43E3F">
        <w:rPr>
          <w:rFonts w:ascii="Verdana" w:hAnsi="Verdana" w:cs="Verdana"/>
          <w:b/>
          <w:bCs/>
          <w:sz w:val="20"/>
          <w:szCs w:val="20"/>
        </w:rPr>
        <w:t>Insight</w:t>
      </w:r>
      <w:r w:rsidR="004D0398" w:rsidRPr="00A43E3F"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FF4EB1" w:rsidRPr="00A43E3F">
        <w:rPr>
          <w:rFonts w:ascii="Verdana" w:hAnsi="Verdana" w:cs="Verdana"/>
          <w:b/>
          <w:bCs/>
          <w:sz w:val="20"/>
          <w:szCs w:val="20"/>
        </w:rPr>
        <w:t xml:space="preserve">“Select All” Option for Eligible List </w:t>
      </w:r>
      <w:r w:rsidR="007C4534">
        <w:rPr>
          <w:rFonts w:ascii="Verdana" w:hAnsi="Verdana" w:cs="Verdana"/>
          <w:b/>
          <w:bCs/>
          <w:sz w:val="20"/>
          <w:szCs w:val="20"/>
        </w:rPr>
        <w:t xml:space="preserve">and Referred List </w:t>
      </w:r>
      <w:r w:rsidR="00FF4EB1" w:rsidRPr="00A43E3F">
        <w:rPr>
          <w:rFonts w:ascii="Verdana" w:hAnsi="Verdana" w:cs="Verdana"/>
          <w:b/>
          <w:bCs/>
          <w:sz w:val="20"/>
          <w:szCs w:val="20"/>
        </w:rPr>
        <w:t>Candidates</w:t>
      </w:r>
    </w:p>
    <w:p w14:paraId="55606B18" w14:textId="39942266" w:rsidR="00A43E3F" w:rsidRPr="00B55716" w:rsidRDefault="00E716E1" w:rsidP="00FF4EB1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</w:t>
      </w:r>
      <w:r w:rsidR="00A44155" w:rsidRPr="00A44155">
        <w:rPr>
          <w:rFonts w:ascii="Verdana" w:hAnsi="Verdana" w:cs="Verdana"/>
          <w:sz w:val="20"/>
          <w:szCs w:val="20"/>
        </w:rPr>
        <w:t>“Select All” option</w:t>
      </w:r>
      <w:r>
        <w:rPr>
          <w:rFonts w:ascii="Verdana" w:hAnsi="Verdana" w:cs="Verdana"/>
          <w:sz w:val="20"/>
          <w:szCs w:val="20"/>
        </w:rPr>
        <w:t xml:space="preserve"> is</w:t>
      </w:r>
      <w:r w:rsidR="00A44155">
        <w:rPr>
          <w:rFonts w:ascii="Verdana" w:hAnsi="Verdana" w:cs="Verdana"/>
          <w:sz w:val="20"/>
          <w:szCs w:val="20"/>
        </w:rPr>
        <w:t xml:space="preserve"> now </w:t>
      </w:r>
      <w:r w:rsidR="00A44155" w:rsidRPr="00A44155">
        <w:rPr>
          <w:rFonts w:ascii="Verdana" w:hAnsi="Verdana" w:cs="Verdana"/>
          <w:sz w:val="20"/>
          <w:szCs w:val="20"/>
        </w:rPr>
        <w:t>available for Eligible List</w:t>
      </w:r>
      <w:r w:rsidR="005D2FC0">
        <w:rPr>
          <w:rFonts w:ascii="Verdana" w:hAnsi="Verdana" w:cs="Verdana"/>
          <w:sz w:val="20"/>
          <w:szCs w:val="20"/>
        </w:rPr>
        <w:t xml:space="preserve"> </w:t>
      </w:r>
      <w:r w:rsidR="007C4534">
        <w:rPr>
          <w:rFonts w:ascii="Verdana" w:hAnsi="Verdana" w:cs="Verdana"/>
          <w:sz w:val="20"/>
          <w:szCs w:val="20"/>
        </w:rPr>
        <w:t xml:space="preserve">and Referred List </w:t>
      </w:r>
      <w:r w:rsidR="005D2FC0">
        <w:rPr>
          <w:rFonts w:ascii="Verdana" w:hAnsi="Verdana" w:cs="Verdana"/>
          <w:sz w:val="20"/>
          <w:szCs w:val="20"/>
        </w:rPr>
        <w:t>candidates</w:t>
      </w:r>
      <w:r w:rsidR="00A44155" w:rsidRPr="00A44155">
        <w:rPr>
          <w:rFonts w:ascii="Verdana" w:hAnsi="Verdana" w:cs="Verdana"/>
          <w:sz w:val="20"/>
          <w:szCs w:val="20"/>
        </w:rPr>
        <w:t>.</w:t>
      </w:r>
      <w:r w:rsidR="00A44155">
        <w:rPr>
          <w:rFonts w:ascii="Verdana" w:hAnsi="Verdana" w:cs="Verdana"/>
          <w:sz w:val="20"/>
          <w:szCs w:val="20"/>
        </w:rPr>
        <w:t xml:space="preserve"> This will allow Insight users to select all candidates on the same page or across all pages and </w:t>
      </w:r>
      <w:r w:rsidR="005D2FC0">
        <w:rPr>
          <w:rFonts w:ascii="Verdana" w:hAnsi="Verdana" w:cs="Verdana"/>
          <w:sz w:val="20"/>
          <w:szCs w:val="20"/>
        </w:rPr>
        <w:t xml:space="preserve">then </w:t>
      </w:r>
      <w:r w:rsidR="00A44155">
        <w:rPr>
          <w:rFonts w:ascii="Verdana" w:hAnsi="Verdana" w:cs="Verdana"/>
          <w:sz w:val="20"/>
          <w:szCs w:val="20"/>
        </w:rPr>
        <w:t xml:space="preserve">perform an action on those selected candidates. </w:t>
      </w:r>
    </w:p>
    <w:p w14:paraId="1ABFA717" w14:textId="4579EECD" w:rsidR="00A44155" w:rsidRDefault="00A44155" w:rsidP="00FF4EB1">
      <w:pPr>
        <w:rPr>
          <w:rFonts w:ascii="Verdana" w:hAnsi="Verdana" w:cs="Verdana"/>
          <w:sz w:val="20"/>
          <w:szCs w:val="20"/>
        </w:rPr>
      </w:pPr>
    </w:p>
    <w:p w14:paraId="3DAACB1D" w14:textId="3B498D67" w:rsidR="00984559" w:rsidRDefault="00A44155" w:rsidP="00FF4EB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This will also make it easier for users to exclude candidates when the action applies </w:t>
      </w:r>
      <w:r w:rsidR="005D2FC0">
        <w:rPr>
          <w:rFonts w:ascii="Verdana" w:hAnsi="Verdana" w:cs="Verdana"/>
          <w:sz w:val="20"/>
          <w:szCs w:val="20"/>
        </w:rPr>
        <w:t xml:space="preserve">to most, but not all candidates. </w:t>
      </w:r>
      <w:r w:rsidR="00E4283D">
        <w:rPr>
          <w:rFonts w:ascii="Verdana" w:hAnsi="Verdana" w:cs="Verdana"/>
          <w:sz w:val="20"/>
          <w:szCs w:val="20"/>
        </w:rPr>
        <w:t>Users</w:t>
      </w:r>
      <w:r w:rsidR="005D2FC0">
        <w:rPr>
          <w:rFonts w:ascii="Verdana" w:hAnsi="Verdana" w:cs="Verdana"/>
          <w:sz w:val="20"/>
          <w:szCs w:val="20"/>
        </w:rPr>
        <w:t xml:space="preserve"> can select all candidates and then unselect the few candidates for whom the action does not apply</w:t>
      </w:r>
      <w:r w:rsidR="00A43E3F">
        <w:rPr>
          <w:rFonts w:ascii="Verdana" w:hAnsi="Verdana" w:cs="Verdana"/>
          <w:sz w:val="20"/>
          <w:szCs w:val="20"/>
        </w:rPr>
        <w:t>, eliminating the need to select candidates manually on a single page or across multiple pages.</w:t>
      </w:r>
      <w:r w:rsidR="00984559">
        <w:rPr>
          <w:rFonts w:ascii="Verdana" w:hAnsi="Verdana" w:cs="Verdana"/>
          <w:sz w:val="20"/>
          <w:szCs w:val="20"/>
        </w:rPr>
        <w:t xml:space="preserve"> </w:t>
      </w:r>
    </w:p>
    <w:p w14:paraId="3C462D5D" w14:textId="6B470BB2" w:rsidR="00E4283D" w:rsidRDefault="00E4283D" w:rsidP="00FF4EB1">
      <w:pPr>
        <w:rPr>
          <w:rFonts w:ascii="Verdana" w:hAnsi="Verdana" w:cs="Verdana"/>
          <w:sz w:val="20"/>
          <w:szCs w:val="20"/>
        </w:rPr>
      </w:pPr>
    </w:p>
    <w:p w14:paraId="1F988D5F" w14:textId="10253D14" w:rsidR="00E4283D" w:rsidRDefault="00E4283D" w:rsidP="00FF4EB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When using the “Select All” option</w:t>
      </w:r>
      <w:r w:rsidR="00B85D56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it is recommended to use the “Selected Candidates” action from the </w:t>
      </w:r>
      <w:proofErr w:type="gramStart"/>
      <w:r>
        <w:rPr>
          <w:rFonts w:ascii="Verdana" w:hAnsi="Verdana" w:cs="Verdana"/>
          <w:sz w:val="20"/>
          <w:szCs w:val="20"/>
        </w:rPr>
        <w:t>actions</w:t>
      </w:r>
      <w:proofErr w:type="gramEnd"/>
      <w:r>
        <w:rPr>
          <w:rFonts w:ascii="Verdana" w:hAnsi="Verdana" w:cs="Verdana"/>
          <w:sz w:val="20"/>
          <w:szCs w:val="20"/>
        </w:rPr>
        <w:t xml:space="preserve"> dropdown.</w:t>
      </w:r>
    </w:p>
    <w:p w14:paraId="7C996036" w14:textId="230CFA25" w:rsidR="00E4283D" w:rsidRDefault="00E4283D" w:rsidP="00FF4EB1">
      <w:pPr>
        <w:rPr>
          <w:rFonts w:ascii="Verdana" w:hAnsi="Verdana" w:cs="Verdana"/>
          <w:sz w:val="20"/>
          <w:szCs w:val="20"/>
        </w:rPr>
      </w:pPr>
    </w:p>
    <w:p w14:paraId="43E5211A" w14:textId="17723F57" w:rsidR="00E4283D" w:rsidRDefault="00653D44" w:rsidP="00E4283D">
      <w:pPr>
        <w:jc w:val="center"/>
        <w:rPr>
          <w:rFonts w:ascii="Verdana" w:hAnsi="Verdana" w:cs="Verdana"/>
          <w:sz w:val="20"/>
          <w:szCs w:val="20"/>
        </w:rPr>
      </w:pPr>
      <w:r w:rsidRPr="00653D44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14F49CA3" wp14:editId="3300588C">
            <wp:extent cx="4629150" cy="837655"/>
            <wp:effectExtent l="19050" t="19050" r="19050" b="196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3163" cy="8818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987A26" w14:textId="4E92C0DF" w:rsidR="00B55716" w:rsidRDefault="00B55716" w:rsidP="00FF4EB1">
      <w:pPr>
        <w:rPr>
          <w:rFonts w:ascii="Verdana" w:hAnsi="Verdana" w:cs="Verdana"/>
          <w:sz w:val="20"/>
          <w:szCs w:val="20"/>
        </w:rPr>
      </w:pPr>
    </w:p>
    <w:p w14:paraId="6EFE0646" w14:textId="4AA9C2AB" w:rsidR="00B55716" w:rsidRPr="00A44155" w:rsidRDefault="00B55716" w:rsidP="00FF4EB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Please note the “Select all 23</w:t>
      </w:r>
      <w:r w:rsidR="009C02E0">
        <w:rPr>
          <w:rFonts w:ascii="Verdana" w:hAnsi="Verdana" w:cs="Verdana"/>
          <w:sz w:val="20"/>
          <w:szCs w:val="20"/>
        </w:rPr>
        <w:t>08</w:t>
      </w:r>
      <w:r>
        <w:rPr>
          <w:rFonts w:ascii="Verdana" w:hAnsi="Verdana" w:cs="Verdana"/>
          <w:sz w:val="20"/>
          <w:szCs w:val="20"/>
        </w:rPr>
        <w:t xml:space="preserve">5 records” option </w:t>
      </w:r>
      <w:r w:rsidR="00E4283D">
        <w:rPr>
          <w:rFonts w:ascii="Verdana" w:hAnsi="Verdana" w:cs="Verdana"/>
          <w:sz w:val="20"/>
          <w:szCs w:val="20"/>
        </w:rPr>
        <w:t xml:space="preserve">that is </w:t>
      </w:r>
      <w:r w:rsidR="00E716E1">
        <w:rPr>
          <w:rFonts w:ascii="Verdana" w:hAnsi="Verdana" w:cs="Verdana"/>
          <w:sz w:val="20"/>
          <w:szCs w:val="20"/>
        </w:rPr>
        <w:t>choosing</w:t>
      </w:r>
      <w:r w:rsidR="00E4283D">
        <w:rPr>
          <w:rFonts w:ascii="Verdana" w:hAnsi="Verdana" w:cs="Verdana"/>
          <w:sz w:val="20"/>
          <w:szCs w:val="20"/>
        </w:rPr>
        <w:t xml:space="preserve"> all</w:t>
      </w:r>
      <w:r>
        <w:rPr>
          <w:rFonts w:ascii="Verdana" w:hAnsi="Verdana" w:cs="Verdana"/>
          <w:sz w:val="20"/>
          <w:szCs w:val="20"/>
        </w:rPr>
        <w:t xml:space="preserve"> eligible list candidates in the below example does not appear until all records are selected for a single page.</w:t>
      </w:r>
    </w:p>
    <w:p w14:paraId="7B3E4AE7" w14:textId="6E26F034" w:rsidR="0054073A" w:rsidRDefault="0054073A" w:rsidP="00FF4EB1">
      <w:pPr>
        <w:rPr>
          <w:rFonts w:ascii="Verdana" w:hAnsi="Verdana" w:cs="Verdana"/>
          <w:b/>
          <w:bCs/>
          <w:sz w:val="22"/>
          <w:szCs w:val="22"/>
        </w:rPr>
      </w:pPr>
    </w:p>
    <w:p w14:paraId="2061E022" w14:textId="1A9E8EA7" w:rsidR="007C4534" w:rsidRDefault="001F5C3D" w:rsidP="00624603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1F5C3D">
        <w:rPr>
          <w:rFonts w:ascii="Verdana" w:hAnsi="Verdana" w:cs="Verdana"/>
          <w:b/>
          <w:bCs/>
          <w:noProof/>
          <w:sz w:val="22"/>
          <w:szCs w:val="22"/>
        </w:rPr>
        <w:drawing>
          <wp:inline distT="0" distB="0" distL="0" distR="0" wp14:anchorId="4A4F4E41" wp14:editId="45EB0ED0">
            <wp:extent cx="5991225" cy="2310901"/>
            <wp:effectExtent l="19050" t="19050" r="9525" b="133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06188" cy="23166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ED80A7" w14:textId="461DE0B1" w:rsidR="00FF4EB1" w:rsidRPr="00CC111D" w:rsidRDefault="00FF4EB1" w:rsidP="00FF4EB1">
      <w:pPr>
        <w:rPr>
          <w:rFonts w:ascii="Verdana" w:hAnsi="Verdana" w:cs="Verdana"/>
          <w:b/>
          <w:bCs/>
          <w:sz w:val="20"/>
          <w:szCs w:val="20"/>
        </w:rPr>
      </w:pPr>
      <w:r w:rsidRPr="00CC111D">
        <w:rPr>
          <w:rFonts w:ascii="Verdana" w:hAnsi="Verdana" w:cs="Verdana"/>
          <w:b/>
          <w:bCs/>
          <w:sz w:val="20"/>
          <w:szCs w:val="20"/>
        </w:rPr>
        <w:lastRenderedPageBreak/>
        <w:t>Insight: Automatically Advance Passing Candidates</w:t>
      </w:r>
    </w:p>
    <w:p w14:paraId="0341C816" w14:textId="7C1FBE4A" w:rsidR="00624603" w:rsidRDefault="00CC111D" w:rsidP="00FF4EB1">
      <w:pPr>
        <w:rPr>
          <w:rFonts w:ascii="Verdana" w:hAnsi="Verdana" w:cs="Verdana"/>
          <w:sz w:val="20"/>
          <w:szCs w:val="20"/>
        </w:rPr>
      </w:pPr>
      <w:r w:rsidRPr="00CC111D">
        <w:rPr>
          <w:rFonts w:ascii="Verdana" w:hAnsi="Verdana" w:cs="Verdana"/>
          <w:sz w:val="20"/>
          <w:szCs w:val="20"/>
        </w:rPr>
        <w:t>Insight users</w:t>
      </w:r>
      <w:r>
        <w:rPr>
          <w:rFonts w:ascii="Verdana" w:hAnsi="Verdana" w:cs="Verdana"/>
          <w:sz w:val="20"/>
          <w:szCs w:val="20"/>
        </w:rPr>
        <w:t xml:space="preserve"> can now automatically advance passing candidates to the next evaluation step when updating the disposition for </w:t>
      </w:r>
      <w:r w:rsidR="00FE643B">
        <w:rPr>
          <w:rFonts w:ascii="Verdana" w:hAnsi="Verdana" w:cs="Verdana"/>
          <w:sz w:val="20"/>
          <w:szCs w:val="20"/>
        </w:rPr>
        <w:t xml:space="preserve">a single candidate or </w:t>
      </w:r>
      <w:r>
        <w:rPr>
          <w:rFonts w:ascii="Verdana" w:hAnsi="Verdana" w:cs="Verdana"/>
          <w:sz w:val="20"/>
          <w:szCs w:val="20"/>
        </w:rPr>
        <w:t>multiple candidates. Users will see an “Advance passing candidates to next steps” option on the candidate disposition page.</w:t>
      </w:r>
      <w:r w:rsidR="00D2365B">
        <w:rPr>
          <w:rFonts w:ascii="Verdana" w:hAnsi="Verdana" w:cs="Verdana"/>
          <w:sz w:val="20"/>
          <w:szCs w:val="20"/>
        </w:rPr>
        <w:t xml:space="preserve"> In some cases, this will eliminate the need to manually advance passing candidates to the next step after updating the disposition.</w:t>
      </w:r>
    </w:p>
    <w:p w14:paraId="24FB0F94" w14:textId="4E915930" w:rsidR="00D2365B" w:rsidRDefault="00D2365B" w:rsidP="00FF4EB1">
      <w:pPr>
        <w:rPr>
          <w:rFonts w:ascii="Verdana" w:hAnsi="Verdana" w:cs="Verdana"/>
          <w:sz w:val="20"/>
          <w:szCs w:val="20"/>
        </w:rPr>
      </w:pPr>
    </w:p>
    <w:p w14:paraId="391757A9" w14:textId="53D77A5B" w:rsidR="00D2365B" w:rsidRDefault="00D2365B" w:rsidP="00FF4EB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Please keep in mind this option is only available when updating the </w:t>
      </w:r>
      <w:r w:rsidR="000518DD">
        <w:rPr>
          <w:rFonts w:ascii="Verdana" w:hAnsi="Verdana" w:cs="Verdana"/>
          <w:sz w:val="20"/>
          <w:szCs w:val="20"/>
        </w:rPr>
        <w:t>disposition</w:t>
      </w:r>
      <w:r>
        <w:rPr>
          <w:rFonts w:ascii="Verdana" w:hAnsi="Verdana" w:cs="Verdana"/>
          <w:sz w:val="20"/>
          <w:szCs w:val="20"/>
        </w:rPr>
        <w:t xml:space="preserve"> </w:t>
      </w:r>
      <w:r w:rsidR="000518DD">
        <w:rPr>
          <w:rFonts w:ascii="Verdana" w:hAnsi="Verdana" w:cs="Verdana"/>
          <w:sz w:val="20"/>
          <w:szCs w:val="20"/>
        </w:rPr>
        <w:t xml:space="preserve">through </w:t>
      </w:r>
      <w:r w:rsidR="000D0871">
        <w:rPr>
          <w:rFonts w:ascii="Verdana" w:hAnsi="Verdana" w:cs="Verdana"/>
          <w:sz w:val="20"/>
          <w:szCs w:val="20"/>
        </w:rPr>
        <w:t>the link within the “Disposition” column</w:t>
      </w:r>
      <w:r w:rsidR="000D0871">
        <w:rPr>
          <w:rFonts w:ascii="Verdana" w:hAnsi="Verdana" w:cs="Verdana"/>
          <w:sz w:val="20"/>
          <w:szCs w:val="20"/>
        </w:rPr>
        <w:t xml:space="preserve"> or </w:t>
      </w:r>
      <w:r w:rsidR="000518DD">
        <w:rPr>
          <w:rFonts w:ascii="Verdana" w:hAnsi="Verdana" w:cs="Verdana"/>
          <w:sz w:val="20"/>
          <w:szCs w:val="20"/>
        </w:rPr>
        <w:t xml:space="preserve">the “Change Disposition” action in the </w:t>
      </w:r>
      <w:proofErr w:type="gramStart"/>
      <w:r w:rsidR="000518DD">
        <w:rPr>
          <w:rFonts w:ascii="Verdana" w:hAnsi="Verdana" w:cs="Verdana"/>
          <w:sz w:val="20"/>
          <w:szCs w:val="20"/>
        </w:rPr>
        <w:t>actions</w:t>
      </w:r>
      <w:proofErr w:type="gramEnd"/>
      <w:r w:rsidR="000518DD">
        <w:rPr>
          <w:rFonts w:ascii="Verdana" w:hAnsi="Verdana" w:cs="Verdana"/>
          <w:sz w:val="20"/>
          <w:szCs w:val="20"/>
        </w:rPr>
        <w:t xml:space="preserve"> dropdown</w:t>
      </w:r>
      <w:r w:rsidR="008C4BE3">
        <w:rPr>
          <w:rFonts w:ascii="Verdana" w:hAnsi="Verdana" w:cs="Verdana"/>
          <w:sz w:val="20"/>
          <w:szCs w:val="20"/>
        </w:rPr>
        <w:t>.</w:t>
      </w:r>
    </w:p>
    <w:p w14:paraId="5C70F1F2" w14:textId="73FECA38" w:rsidR="00D2365B" w:rsidRDefault="00D2365B" w:rsidP="00FF4EB1">
      <w:pPr>
        <w:rPr>
          <w:rFonts w:ascii="Verdana" w:hAnsi="Verdana" w:cs="Verdana"/>
          <w:sz w:val="20"/>
          <w:szCs w:val="20"/>
        </w:rPr>
      </w:pPr>
    </w:p>
    <w:p w14:paraId="10A0C979" w14:textId="7EDD7AAF" w:rsidR="00D2365B" w:rsidRDefault="00D2365B" w:rsidP="00D2365B">
      <w:pPr>
        <w:jc w:val="center"/>
        <w:rPr>
          <w:rFonts w:ascii="Verdana" w:hAnsi="Verdana" w:cs="Verdana"/>
          <w:sz w:val="20"/>
          <w:szCs w:val="20"/>
        </w:rPr>
      </w:pPr>
      <w:r w:rsidRPr="00D2365B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70FF1035" wp14:editId="060F7D6D">
            <wp:extent cx="5749776" cy="925195"/>
            <wp:effectExtent l="19050" t="19050" r="22860" b="273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47194" cy="9408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B88350" w14:textId="6E9251BA" w:rsidR="00DB307D" w:rsidRDefault="00DB307D" w:rsidP="00D2365B">
      <w:pPr>
        <w:jc w:val="center"/>
        <w:rPr>
          <w:rFonts w:ascii="Verdana" w:hAnsi="Verdana" w:cs="Verdana"/>
          <w:sz w:val="20"/>
          <w:szCs w:val="20"/>
        </w:rPr>
      </w:pPr>
    </w:p>
    <w:p w14:paraId="7E563936" w14:textId="7C5A076B" w:rsidR="00DB307D" w:rsidRPr="00CC111D" w:rsidRDefault="00DB307D" w:rsidP="00D2365B">
      <w:pPr>
        <w:jc w:val="center"/>
        <w:rPr>
          <w:rFonts w:ascii="Verdana" w:hAnsi="Verdana" w:cs="Verdana"/>
          <w:sz w:val="20"/>
          <w:szCs w:val="20"/>
        </w:rPr>
      </w:pPr>
      <w:r w:rsidRPr="00DB307D">
        <w:rPr>
          <w:rFonts w:ascii="Verdana" w:hAnsi="Verdana" w:cs="Verdana"/>
          <w:sz w:val="20"/>
          <w:szCs w:val="20"/>
        </w:rPr>
        <w:drawing>
          <wp:inline distT="0" distB="0" distL="0" distR="0" wp14:anchorId="24DB9F8A" wp14:editId="2DF4B6E0">
            <wp:extent cx="5732145" cy="638109"/>
            <wp:effectExtent l="19050" t="19050" r="20955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81846" cy="6547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0B3402" w14:textId="21617043" w:rsidR="00AF742C" w:rsidRDefault="00AF742C" w:rsidP="00DB307D">
      <w:pPr>
        <w:tabs>
          <w:tab w:val="left" w:pos="630"/>
          <w:tab w:val="left" w:pos="9540"/>
        </w:tabs>
        <w:rPr>
          <w:rFonts w:ascii="Verdana" w:hAnsi="Verdana" w:cs="Verdana"/>
          <w:b/>
          <w:bCs/>
          <w:sz w:val="22"/>
          <w:szCs w:val="22"/>
        </w:rPr>
      </w:pPr>
    </w:p>
    <w:p w14:paraId="163DC548" w14:textId="20186F4B" w:rsidR="00DB307D" w:rsidRDefault="00624603" w:rsidP="00DB307D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624603">
        <w:rPr>
          <w:rFonts w:ascii="Verdana" w:hAnsi="Verdana" w:cs="Verdana"/>
          <w:b/>
          <w:bCs/>
          <w:noProof/>
          <w:sz w:val="22"/>
          <w:szCs w:val="22"/>
        </w:rPr>
        <w:drawing>
          <wp:inline distT="0" distB="0" distL="0" distR="0" wp14:anchorId="64DE8C22" wp14:editId="0D6ED1B8">
            <wp:extent cx="4029075" cy="4310872"/>
            <wp:effectExtent l="19050" t="19050" r="9525" b="139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71992" cy="43567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724166" w14:textId="77777777" w:rsidR="000D0871" w:rsidRDefault="000D0871" w:rsidP="00DB307D">
      <w:pPr>
        <w:jc w:val="center"/>
        <w:rPr>
          <w:rFonts w:ascii="Verdana" w:hAnsi="Verdana" w:cs="Verdana"/>
          <w:b/>
          <w:bCs/>
          <w:sz w:val="22"/>
          <w:szCs w:val="22"/>
        </w:rPr>
      </w:pPr>
      <w:bookmarkStart w:id="1" w:name="_GoBack"/>
      <w:bookmarkEnd w:id="1"/>
    </w:p>
    <w:p w14:paraId="6C51AFD1" w14:textId="51AA885A" w:rsidR="0055121A" w:rsidRPr="00D2365B" w:rsidRDefault="00B23E17" w:rsidP="00DB307D">
      <w:pPr>
        <w:rPr>
          <w:rFonts w:ascii="Verdana" w:hAnsi="Verdana" w:cs="Verdana"/>
          <w:b/>
          <w:bCs/>
          <w:sz w:val="22"/>
          <w:szCs w:val="22"/>
        </w:rPr>
      </w:pPr>
      <w:r w:rsidRPr="00CC111D">
        <w:rPr>
          <w:rFonts w:ascii="Verdana" w:hAnsi="Verdana" w:cs="Verdana"/>
          <w:b/>
          <w:bCs/>
          <w:sz w:val="20"/>
          <w:szCs w:val="20"/>
        </w:rPr>
        <w:lastRenderedPageBreak/>
        <w:t xml:space="preserve">Insight: </w:t>
      </w:r>
      <w:r w:rsidR="00FF4EB1" w:rsidRPr="00CC111D">
        <w:rPr>
          <w:rFonts w:ascii="Verdana" w:hAnsi="Verdana" w:cs="Verdana"/>
          <w:b/>
          <w:bCs/>
          <w:sz w:val="20"/>
          <w:szCs w:val="20"/>
        </w:rPr>
        <w:t>Career Pages Link</w:t>
      </w:r>
    </w:p>
    <w:p w14:paraId="18FC1C13" w14:textId="331D21FD" w:rsidR="00C6531C" w:rsidRDefault="00B36B04" w:rsidP="00C6531C">
      <w:pPr>
        <w:spacing w:after="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“Career Pages” (i.e. posting sites) link has been added to the Insight dashboard menu. This</w:t>
      </w:r>
      <w:r w:rsidR="002418BA">
        <w:rPr>
          <w:rFonts w:ascii="Verdana" w:hAnsi="Verdana" w:cs="Verdana"/>
          <w:sz w:val="20"/>
          <w:szCs w:val="20"/>
        </w:rPr>
        <w:t xml:space="preserve"> allows for</w:t>
      </w:r>
      <w:r>
        <w:rPr>
          <w:rFonts w:ascii="Verdana" w:hAnsi="Verdana" w:cs="Verdana"/>
          <w:sz w:val="20"/>
          <w:szCs w:val="20"/>
        </w:rPr>
        <w:t xml:space="preserve"> easy navigation to the posting sites through a single click. </w:t>
      </w:r>
    </w:p>
    <w:p w14:paraId="19456D2B" w14:textId="77777777" w:rsidR="00B36B04" w:rsidRDefault="00B36B04" w:rsidP="00C6531C">
      <w:pPr>
        <w:spacing w:after="60"/>
        <w:rPr>
          <w:rFonts w:ascii="Verdana" w:hAnsi="Verdana" w:cs="Verdana"/>
          <w:sz w:val="20"/>
          <w:szCs w:val="20"/>
        </w:rPr>
      </w:pPr>
    </w:p>
    <w:p w14:paraId="72B2C6A2" w14:textId="477E91E9" w:rsidR="00510D78" w:rsidRDefault="00F22310" w:rsidP="00D6503F">
      <w:pPr>
        <w:spacing w:after="60"/>
        <w:jc w:val="center"/>
        <w:rPr>
          <w:rFonts w:ascii="Verdana" w:hAnsi="Verdana" w:cs="Verdana"/>
          <w:sz w:val="20"/>
          <w:szCs w:val="20"/>
        </w:rPr>
      </w:pPr>
      <w:r w:rsidRPr="00F22310">
        <w:rPr>
          <w:rFonts w:ascii="Verdana" w:hAnsi="Verdana" w:cs="Verdana"/>
          <w:sz w:val="20"/>
          <w:szCs w:val="20"/>
        </w:rPr>
        <w:drawing>
          <wp:inline distT="0" distB="0" distL="0" distR="0" wp14:anchorId="5DB0668B" wp14:editId="35C48BB3">
            <wp:extent cx="6400800" cy="1685925"/>
            <wp:effectExtent l="19050" t="19050" r="19050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685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FC847BD" w14:textId="413EA4D3" w:rsidR="001F5C3D" w:rsidRDefault="001F5C3D" w:rsidP="001F5C3D">
      <w:pPr>
        <w:spacing w:after="60"/>
        <w:rPr>
          <w:rFonts w:ascii="Verdana" w:hAnsi="Verdana" w:cs="Verdana"/>
          <w:sz w:val="20"/>
          <w:szCs w:val="20"/>
        </w:rPr>
      </w:pPr>
    </w:p>
    <w:p w14:paraId="1B4610EA" w14:textId="77777777" w:rsidR="001F5C3D" w:rsidRPr="00510D78" w:rsidRDefault="001F5C3D" w:rsidP="001F5C3D">
      <w:pPr>
        <w:spacing w:after="60"/>
        <w:rPr>
          <w:rFonts w:ascii="Verdana" w:hAnsi="Verdana" w:cs="Verdana"/>
          <w:sz w:val="20"/>
          <w:szCs w:val="20"/>
        </w:rPr>
      </w:pPr>
    </w:p>
    <w:p w14:paraId="312505F7" w14:textId="062CEC6F" w:rsidR="004C237C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Pr="00DA2E4A">
        <w:rPr>
          <w:rFonts w:ascii="Verdana" w:hAnsi="Verdana" w:cs="Verdana"/>
          <w:sz w:val="20"/>
          <w:szCs w:val="20"/>
        </w:rPr>
        <w:t>If you have any questions regarding</w:t>
      </w:r>
      <w:r w:rsidR="00187086" w:rsidRPr="00DA2E4A">
        <w:rPr>
          <w:rFonts w:ascii="Verdana" w:hAnsi="Verdana" w:cs="Verdana"/>
          <w:sz w:val="20"/>
          <w:szCs w:val="20"/>
        </w:rPr>
        <w:t xml:space="preserve"> the</w:t>
      </w:r>
      <w:r w:rsidRPr="00DA2E4A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CE371D3513324C21B3AD639EFE53F3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10F71">
            <w:rPr>
              <w:rFonts w:ascii="Verdana" w:hAnsi="Verdana" w:cs="Verdana"/>
              <w:sz w:val="20"/>
              <w:szCs w:val="20"/>
            </w:rPr>
            <w:t>December 2019 NEOGOV Enhancements</w:t>
          </w:r>
        </w:sdtContent>
      </w:sdt>
      <w:r w:rsidRPr="00DA2E4A">
        <w:rPr>
          <w:rFonts w:ascii="Verdana" w:hAnsi="Verdana" w:cs="Verdana"/>
          <w:sz w:val="20"/>
          <w:szCs w:val="20"/>
        </w:rPr>
        <w:t xml:space="preserve">, please </w:t>
      </w:r>
      <w:r w:rsidR="00187086" w:rsidRPr="00DA2E4A">
        <w:rPr>
          <w:rFonts w:ascii="Verdana" w:hAnsi="Verdana" w:cs="Verdana"/>
          <w:sz w:val="20"/>
          <w:szCs w:val="20"/>
        </w:rPr>
        <w:t xml:space="preserve">submit an </w:t>
      </w:r>
      <w:hyperlink r:id="rId17" w:history="1">
        <w:r w:rsidR="00187086" w:rsidRPr="00DA2E4A">
          <w:rPr>
            <w:rStyle w:val="Hyperlink"/>
            <w:rFonts w:ascii="Verdana" w:hAnsi="Verdana" w:cs="Verdana"/>
            <w:sz w:val="20"/>
            <w:szCs w:val="20"/>
          </w:rPr>
          <w:t>HR/Pay Help Desk</w:t>
        </w:r>
      </w:hyperlink>
      <w:r w:rsidR="00187086" w:rsidRPr="00DA2E4A">
        <w:rPr>
          <w:rFonts w:ascii="Verdana" w:hAnsi="Verdana" w:cs="Verdana"/>
          <w:sz w:val="20"/>
          <w:szCs w:val="20"/>
        </w:rPr>
        <w:t xml:space="preserve"> ticket under the ‘</w:t>
      </w:r>
      <w:r w:rsidR="0064292C">
        <w:rPr>
          <w:rFonts w:ascii="Verdana" w:hAnsi="Verdana" w:cs="Verdana"/>
          <w:sz w:val="20"/>
          <w:szCs w:val="20"/>
        </w:rPr>
        <w:t xml:space="preserve">HR </w:t>
      </w:r>
      <w:r w:rsidR="00187086" w:rsidRPr="00DA2E4A">
        <w:rPr>
          <w:rFonts w:ascii="Verdana" w:hAnsi="Verdana" w:cs="Verdana"/>
          <w:sz w:val="20"/>
          <w:szCs w:val="20"/>
        </w:rPr>
        <w:t>Application Support’ category.</w:t>
      </w:r>
      <w:r w:rsidR="00807036">
        <w:rPr>
          <w:rFonts w:ascii="Verdana" w:hAnsi="Verdana" w:cs="Verdana"/>
          <w:sz w:val="20"/>
          <w:szCs w:val="20"/>
        </w:rPr>
        <w:t xml:space="preserve"> </w:t>
      </w:r>
    </w:p>
    <w:sectPr w:rsidR="004C237C" w:rsidSect="00DF5056">
      <w:headerReference w:type="default" r:id="rId18"/>
      <w:footerReference w:type="even" r:id="rId19"/>
      <w:footerReference w:type="default" r:id="rId2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6851B" w14:textId="77777777" w:rsidR="003C059B" w:rsidRDefault="003C059B">
      <w:r>
        <w:separator/>
      </w:r>
    </w:p>
  </w:endnote>
  <w:endnote w:type="continuationSeparator" w:id="0">
    <w:p w14:paraId="7244A4ED" w14:textId="77777777" w:rsidR="003C059B" w:rsidRDefault="003C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2699C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A8007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A63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7550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11B2EC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2C1D6" w14:textId="77777777" w:rsidR="003C059B" w:rsidRDefault="003C059B">
      <w:r>
        <w:separator/>
      </w:r>
    </w:p>
  </w:footnote>
  <w:footnote w:type="continuationSeparator" w:id="0">
    <w:p w14:paraId="2439D9A8" w14:textId="77777777" w:rsidR="003C059B" w:rsidRDefault="003C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F9E7B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00FA05D" w14:textId="089B585A" w:rsidR="00C903F3" w:rsidRPr="009C625C" w:rsidRDefault="003C059B" w:rsidP="00BA1B41">
    <w:pPr>
      <w:pStyle w:val="Header"/>
      <w:tabs>
        <w:tab w:val="clear" w:pos="4320"/>
        <w:tab w:val="cente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-80561605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A1B41">
          <w:rPr>
            <w:rFonts w:ascii="Verdana" w:hAnsi="Verdana" w:cs="Arial"/>
            <w:b/>
            <w:bCs/>
            <w:sz w:val="28"/>
            <w:szCs w:val="28"/>
          </w:rPr>
          <w:t>Talent Acquisition</w:t>
        </w:r>
        <w:r w:rsidR="00C903F3">
          <w:rPr>
            <w:rFonts w:ascii="Verdana" w:hAnsi="Verdana" w:cs="Arial"/>
            <w:b/>
            <w:bCs/>
            <w:sz w:val="28"/>
            <w:szCs w:val="28"/>
          </w:rPr>
          <w:t xml:space="preserve">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85530614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BA1B41">
          <w:rPr>
            <w:rFonts w:ascii="Verdana" w:hAnsi="Verdana" w:cs="Arial"/>
            <w:b/>
            <w:bCs/>
            <w:sz w:val="28"/>
            <w:szCs w:val="28"/>
          </w:rPr>
          <w:t>9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D10F71">
          <w:rPr>
            <w:rFonts w:ascii="Verdana" w:hAnsi="Verdana" w:cs="Arial"/>
            <w:b/>
            <w:bCs/>
            <w:sz w:val="28"/>
            <w:szCs w:val="28"/>
          </w:rPr>
          <w:t>11</w:t>
        </w:r>
      </w:sdtContent>
    </w:sdt>
  </w:p>
  <w:p w14:paraId="4287D4CB" w14:textId="0DDC2ED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985D11">
      <w:rPr>
        <w:rFonts w:ascii="Verdana" w:hAnsi="Verdana" w:cs="Arial"/>
        <w:sz w:val="20"/>
        <w:szCs w:val="20"/>
      </w:rPr>
      <w:t>1</w:t>
    </w:r>
    <w:r w:rsidR="00C75723">
      <w:rPr>
        <w:rFonts w:ascii="Verdana" w:hAnsi="Verdana" w:cs="Arial"/>
        <w:sz w:val="20"/>
        <w:szCs w:val="20"/>
      </w:rPr>
      <w:t>2</w:t>
    </w:r>
    <w:r w:rsidR="00985D11">
      <w:rPr>
        <w:rFonts w:ascii="Verdana" w:hAnsi="Verdana" w:cs="Arial"/>
        <w:sz w:val="20"/>
        <w:szCs w:val="20"/>
      </w:rPr>
      <w:t>.</w:t>
    </w:r>
    <w:r w:rsidR="00D10F71">
      <w:rPr>
        <w:rFonts w:ascii="Verdana" w:hAnsi="Verdana" w:cs="Arial"/>
        <w:sz w:val="20"/>
        <w:szCs w:val="20"/>
      </w:rPr>
      <w:t>18</w:t>
    </w:r>
    <w:r w:rsidR="00985D11">
      <w:rPr>
        <w:rFonts w:ascii="Verdana" w:hAnsi="Verdana" w:cs="Arial"/>
        <w:sz w:val="20"/>
        <w:szCs w:val="20"/>
      </w:rPr>
      <w:t>.2019</w:t>
    </w:r>
  </w:p>
  <w:p w14:paraId="6FFB54BF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7EF1DE6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5A2CF3"/>
    <w:multiLevelType w:val="hybridMultilevel"/>
    <w:tmpl w:val="628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88C3B74"/>
    <w:multiLevelType w:val="hybridMultilevel"/>
    <w:tmpl w:val="1766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0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408C035D"/>
    <w:multiLevelType w:val="hybridMultilevel"/>
    <w:tmpl w:val="6BAA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2B6DCC"/>
    <w:multiLevelType w:val="hybridMultilevel"/>
    <w:tmpl w:val="F564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4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9A6274"/>
    <w:multiLevelType w:val="hybridMultilevel"/>
    <w:tmpl w:val="7FD4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4"/>
  </w:num>
  <w:num w:numId="3">
    <w:abstractNumId w:val="21"/>
  </w:num>
  <w:num w:numId="4">
    <w:abstractNumId w:val="31"/>
  </w:num>
  <w:num w:numId="5">
    <w:abstractNumId w:val="33"/>
  </w:num>
  <w:num w:numId="6">
    <w:abstractNumId w:val="30"/>
  </w:num>
  <w:num w:numId="7">
    <w:abstractNumId w:val="14"/>
  </w:num>
  <w:num w:numId="8">
    <w:abstractNumId w:val="32"/>
  </w:num>
  <w:num w:numId="9">
    <w:abstractNumId w:val="7"/>
  </w:num>
  <w:num w:numId="10">
    <w:abstractNumId w:val="23"/>
  </w:num>
  <w:num w:numId="11">
    <w:abstractNumId w:val="13"/>
  </w:num>
  <w:num w:numId="12">
    <w:abstractNumId w:val="35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6"/>
  </w:num>
  <w:num w:numId="19">
    <w:abstractNumId w:val="37"/>
  </w:num>
  <w:num w:numId="20">
    <w:abstractNumId w:val="1"/>
  </w:num>
  <w:num w:numId="21">
    <w:abstractNumId w:val="4"/>
  </w:num>
  <w:num w:numId="22">
    <w:abstractNumId w:val="20"/>
  </w:num>
  <w:num w:numId="23">
    <w:abstractNumId w:val="28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9"/>
  </w:num>
  <w:num w:numId="27">
    <w:abstractNumId w:val="17"/>
  </w:num>
  <w:num w:numId="28">
    <w:abstractNumId w:val="11"/>
  </w:num>
  <w:num w:numId="29">
    <w:abstractNumId w:val="19"/>
  </w:num>
  <w:num w:numId="30">
    <w:abstractNumId w:val="25"/>
  </w:num>
  <w:num w:numId="31">
    <w:abstractNumId w:val="34"/>
  </w:num>
  <w:num w:numId="32">
    <w:abstractNumId w:val="6"/>
  </w:num>
  <w:num w:numId="33">
    <w:abstractNumId w:val="18"/>
  </w:num>
  <w:num w:numId="34">
    <w:abstractNumId w:val="16"/>
  </w:num>
  <w:num w:numId="35">
    <w:abstractNumId w:val="5"/>
  </w:num>
  <w:num w:numId="36">
    <w:abstractNumId w:val="36"/>
  </w:num>
  <w:num w:numId="37">
    <w:abstractNumId w:val="2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78"/>
    <w:rsid w:val="000004F7"/>
    <w:rsid w:val="00010771"/>
    <w:rsid w:val="000128F7"/>
    <w:rsid w:val="00015F8F"/>
    <w:rsid w:val="00023915"/>
    <w:rsid w:val="0003213D"/>
    <w:rsid w:val="00041A44"/>
    <w:rsid w:val="00042258"/>
    <w:rsid w:val="00047832"/>
    <w:rsid w:val="000518DD"/>
    <w:rsid w:val="00054CF9"/>
    <w:rsid w:val="000561E3"/>
    <w:rsid w:val="000677CE"/>
    <w:rsid w:val="0007299B"/>
    <w:rsid w:val="000973C3"/>
    <w:rsid w:val="000A0B0D"/>
    <w:rsid w:val="000A3C11"/>
    <w:rsid w:val="000C6543"/>
    <w:rsid w:val="000D0871"/>
    <w:rsid w:val="000D1069"/>
    <w:rsid w:val="000D78CE"/>
    <w:rsid w:val="000E28F3"/>
    <w:rsid w:val="000E4D76"/>
    <w:rsid w:val="000E559E"/>
    <w:rsid w:val="00103FDC"/>
    <w:rsid w:val="0010609C"/>
    <w:rsid w:val="00106466"/>
    <w:rsid w:val="001113ED"/>
    <w:rsid w:val="0011336B"/>
    <w:rsid w:val="00116A3A"/>
    <w:rsid w:val="00123562"/>
    <w:rsid w:val="00126C7D"/>
    <w:rsid w:val="00130011"/>
    <w:rsid w:val="001332B4"/>
    <w:rsid w:val="00135131"/>
    <w:rsid w:val="00142029"/>
    <w:rsid w:val="001601FB"/>
    <w:rsid w:val="00160FAD"/>
    <w:rsid w:val="00163F86"/>
    <w:rsid w:val="00170294"/>
    <w:rsid w:val="0017351C"/>
    <w:rsid w:val="00175C94"/>
    <w:rsid w:val="00176CD7"/>
    <w:rsid w:val="001833BD"/>
    <w:rsid w:val="00183489"/>
    <w:rsid w:val="00187086"/>
    <w:rsid w:val="0019063F"/>
    <w:rsid w:val="00194B6C"/>
    <w:rsid w:val="001A3BF8"/>
    <w:rsid w:val="001A6778"/>
    <w:rsid w:val="001B3B1F"/>
    <w:rsid w:val="001B7158"/>
    <w:rsid w:val="001C41D8"/>
    <w:rsid w:val="001D27AD"/>
    <w:rsid w:val="001D6ABF"/>
    <w:rsid w:val="001E351E"/>
    <w:rsid w:val="001E41C8"/>
    <w:rsid w:val="001E5838"/>
    <w:rsid w:val="001F0007"/>
    <w:rsid w:val="001F2FC8"/>
    <w:rsid w:val="001F3743"/>
    <w:rsid w:val="001F5C3D"/>
    <w:rsid w:val="0020390D"/>
    <w:rsid w:val="00204AB0"/>
    <w:rsid w:val="002132AC"/>
    <w:rsid w:val="00222BDA"/>
    <w:rsid w:val="00224B5D"/>
    <w:rsid w:val="002277C4"/>
    <w:rsid w:val="0023252F"/>
    <w:rsid w:val="002336DC"/>
    <w:rsid w:val="002418BA"/>
    <w:rsid w:val="002513E8"/>
    <w:rsid w:val="00254EAB"/>
    <w:rsid w:val="00261AF4"/>
    <w:rsid w:val="00262C4D"/>
    <w:rsid w:val="0026477D"/>
    <w:rsid w:val="0026608F"/>
    <w:rsid w:val="002731E2"/>
    <w:rsid w:val="00273B57"/>
    <w:rsid w:val="00291AB4"/>
    <w:rsid w:val="00296667"/>
    <w:rsid w:val="0029768F"/>
    <w:rsid w:val="002A25C9"/>
    <w:rsid w:val="002A29AE"/>
    <w:rsid w:val="002C27FD"/>
    <w:rsid w:val="002C5365"/>
    <w:rsid w:val="002C75E6"/>
    <w:rsid w:val="002D05F5"/>
    <w:rsid w:val="002D5FEF"/>
    <w:rsid w:val="002E1466"/>
    <w:rsid w:val="002E2EC1"/>
    <w:rsid w:val="002E7E5C"/>
    <w:rsid w:val="002F0C17"/>
    <w:rsid w:val="002F51DF"/>
    <w:rsid w:val="002F73A0"/>
    <w:rsid w:val="003027DA"/>
    <w:rsid w:val="00303D42"/>
    <w:rsid w:val="00303DED"/>
    <w:rsid w:val="00307692"/>
    <w:rsid w:val="0031278B"/>
    <w:rsid w:val="00315AC7"/>
    <w:rsid w:val="00320821"/>
    <w:rsid w:val="00324421"/>
    <w:rsid w:val="003268CB"/>
    <w:rsid w:val="0035262C"/>
    <w:rsid w:val="00354FA8"/>
    <w:rsid w:val="0036175D"/>
    <w:rsid w:val="00363E80"/>
    <w:rsid w:val="00377242"/>
    <w:rsid w:val="00387972"/>
    <w:rsid w:val="00396A0F"/>
    <w:rsid w:val="003A3B9F"/>
    <w:rsid w:val="003B17DC"/>
    <w:rsid w:val="003C059B"/>
    <w:rsid w:val="003C475F"/>
    <w:rsid w:val="003D3C16"/>
    <w:rsid w:val="003E2199"/>
    <w:rsid w:val="003F1703"/>
    <w:rsid w:val="003F28EF"/>
    <w:rsid w:val="003F45B6"/>
    <w:rsid w:val="003F7304"/>
    <w:rsid w:val="00400CE7"/>
    <w:rsid w:val="00406094"/>
    <w:rsid w:val="00412D1B"/>
    <w:rsid w:val="004231E8"/>
    <w:rsid w:val="00430AC7"/>
    <w:rsid w:val="00431645"/>
    <w:rsid w:val="0043167E"/>
    <w:rsid w:val="00436DC5"/>
    <w:rsid w:val="00454FFD"/>
    <w:rsid w:val="00455148"/>
    <w:rsid w:val="004566AE"/>
    <w:rsid w:val="00464D56"/>
    <w:rsid w:val="00465F51"/>
    <w:rsid w:val="00472D0E"/>
    <w:rsid w:val="00473681"/>
    <w:rsid w:val="00477BB0"/>
    <w:rsid w:val="004821A6"/>
    <w:rsid w:val="004827A5"/>
    <w:rsid w:val="0048680C"/>
    <w:rsid w:val="00487CCC"/>
    <w:rsid w:val="004952E6"/>
    <w:rsid w:val="004A037D"/>
    <w:rsid w:val="004B0360"/>
    <w:rsid w:val="004B5473"/>
    <w:rsid w:val="004C157A"/>
    <w:rsid w:val="004C237C"/>
    <w:rsid w:val="004D0398"/>
    <w:rsid w:val="004D2081"/>
    <w:rsid w:val="004E0010"/>
    <w:rsid w:val="004E1A78"/>
    <w:rsid w:val="004F2877"/>
    <w:rsid w:val="004F52F4"/>
    <w:rsid w:val="004F6692"/>
    <w:rsid w:val="0050514C"/>
    <w:rsid w:val="00510D78"/>
    <w:rsid w:val="00512A87"/>
    <w:rsid w:val="00515DAE"/>
    <w:rsid w:val="005165ED"/>
    <w:rsid w:val="00517E5B"/>
    <w:rsid w:val="005255D9"/>
    <w:rsid w:val="00525B66"/>
    <w:rsid w:val="00526EB1"/>
    <w:rsid w:val="005272D1"/>
    <w:rsid w:val="00531D0D"/>
    <w:rsid w:val="00534865"/>
    <w:rsid w:val="00534A60"/>
    <w:rsid w:val="0054073A"/>
    <w:rsid w:val="005420FE"/>
    <w:rsid w:val="00544F38"/>
    <w:rsid w:val="0055121A"/>
    <w:rsid w:val="0055410F"/>
    <w:rsid w:val="00557B92"/>
    <w:rsid w:val="00561F4C"/>
    <w:rsid w:val="00566E36"/>
    <w:rsid w:val="005729A8"/>
    <w:rsid w:val="00575F1A"/>
    <w:rsid w:val="00581953"/>
    <w:rsid w:val="00583DE9"/>
    <w:rsid w:val="00587660"/>
    <w:rsid w:val="00591815"/>
    <w:rsid w:val="005934E1"/>
    <w:rsid w:val="005A73E9"/>
    <w:rsid w:val="005B72C3"/>
    <w:rsid w:val="005C0E77"/>
    <w:rsid w:val="005C53D0"/>
    <w:rsid w:val="005C6E26"/>
    <w:rsid w:val="005C73F5"/>
    <w:rsid w:val="005D2FC0"/>
    <w:rsid w:val="005D45D6"/>
    <w:rsid w:val="005E5A3F"/>
    <w:rsid w:val="005F58F0"/>
    <w:rsid w:val="005F6C66"/>
    <w:rsid w:val="0060042E"/>
    <w:rsid w:val="00602857"/>
    <w:rsid w:val="00611055"/>
    <w:rsid w:val="0061211C"/>
    <w:rsid w:val="00614273"/>
    <w:rsid w:val="00615751"/>
    <w:rsid w:val="00624603"/>
    <w:rsid w:val="006268A7"/>
    <w:rsid w:val="0063058E"/>
    <w:rsid w:val="0063145F"/>
    <w:rsid w:val="0063484A"/>
    <w:rsid w:val="00636411"/>
    <w:rsid w:val="00641AEC"/>
    <w:rsid w:val="0064292C"/>
    <w:rsid w:val="0064330E"/>
    <w:rsid w:val="00653A73"/>
    <w:rsid w:val="00653D44"/>
    <w:rsid w:val="006540DC"/>
    <w:rsid w:val="00655AA4"/>
    <w:rsid w:val="0065736A"/>
    <w:rsid w:val="00661530"/>
    <w:rsid w:val="00665041"/>
    <w:rsid w:val="00666153"/>
    <w:rsid w:val="0067247D"/>
    <w:rsid w:val="00673338"/>
    <w:rsid w:val="00675176"/>
    <w:rsid w:val="00675DE1"/>
    <w:rsid w:val="00685856"/>
    <w:rsid w:val="00692502"/>
    <w:rsid w:val="006A226E"/>
    <w:rsid w:val="006A62D1"/>
    <w:rsid w:val="006B1B25"/>
    <w:rsid w:val="006C05AB"/>
    <w:rsid w:val="006C3972"/>
    <w:rsid w:val="006C4418"/>
    <w:rsid w:val="006C7545"/>
    <w:rsid w:val="006D189A"/>
    <w:rsid w:val="006D7B98"/>
    <w:rsid w:val="006D7BF9"/>
    <w:rsid w:val="006D7CF2"/>
    <w:rsid w:val="006E1525"/>
    <w:rsid w:val="006E3735"/>
    <w:rsid w:val="006F085B"/>
    <w:rsid w:val="006F7B2C"/>
    <w:rsid w:val="007008F5"/>
    <w:rsid w:val="00713EAA"/>
    <w:rsid w:val="007142A8"/>
    <w:rsid w:val="00720E2C"/>
    <w:rsid w:val="00725A65"/>
    <w:rsid w:val="00726A54"/>
    <w:rsid w:val="00731FC9"/>
    <w:rsid w:val="00740D43"/>
    <w:rsid w:val="00751FA0"/>
    <w:rsid w:val="00755125"/>
    <w:rsid w:val="00761E16"/>
    <w:rsid w:val="007647C4"/>
    <w:rsid w:val="00765CC9"/>
    <w:rsid w:val="0077618F"/>
    <w:rsid w:val="00777B23"/>
    <w:rsid w:val="007803F8"/>
    <w:rsid w:val="00781D8D"/>
    <w:rsid w:val="007830BC"/>
    <w:rsid w:val="00792831"/>
    <w:rsid w:val="007A36B5"/>
    <w:rsid w:val="007A4A1D"/>
    <w:rsid w:val="007A6D33"/>
    <w:rsid w:val="007B1C44"/>
    <w:rsid w:val="007B23C1"/>
    <w:rsid w:val="007B4FF2"/>
    <w:rsid w:val="007B612B"/>
    <w:rsid w:val="007C4534"/>
    <w:rsid w:val="007D4312"/>
    <w:rsid w:val="007D4D67"/>
    <w:rsid w:val="007D6359"/>
    <w:rsid w:val="007D7D05"/>
    <w:rsid w:val="007E103F"/>
    <w:rsid w:val="007E56F6"/>
    <w:rsid w:val="007F0EDA"/>
    <w:rsid w:val="0080363B"/>
    <w:rsid w:val="00806AA7"/>
    <w:rsid w:val="00807036"/>
    <w:rsid w:val="008247D9"/>
    <w:rsid w:val="00825AB0"/>
    <w:rsid w:val="00825BAC"/>
    <w:rsid w:val="008333AC"/>
    <w:rsid w:val="00834767"/>
    <w:rsid w:val="00837988"/>
    <w:rsid w:val="0084492A"/>
    <w:rsid w:val="00852857"/>
    <w:rsid w:val="00854632"/>
    <w:rsid w:val="00857868"/>
    <w:rsid w:val="00861ECF"/>
    <w:rsid w:val="00865E95"/>
    <w:rsid w:val="00873BEF"/>
    <w:rsid w:val="00875301"/>
    <w:rsid w:val="00891467"/>
    <w:rsid w:val="00892D7C"/>
    <w:rsid w:val="008A4E89"/>
    <w:rsid w:val="008B477C"/>
    <w:rsid w:val="008B5463"/>
    <w:rsid w:val="008C4BE3"/>
    <w:rsid w:val="008C74DA"/>
    <w:rsid w:val="008D04D2"/>
    <w:rsid w:val="008D7296"/>
    <w:rsid w:val="008E042F"/>
    <w:rsid w:val="008E61F8"/>
    <w:rsid w:val="008F3364"/>
    <w:rsid w:val="008F61D5"/>
    <w:rsid w:val="008F71C2"/>
    <w:rsid w:val="00900FC9"/>
    <w:rsid w:val="009045FA"/>
    <w:rsid w:val="00911E3D"/>
    <w:rsid w:val="009122BA"/>
    <w:rsid w:val="0091296E"/>
    <w:rsid w:val="00914BF3"/>
    <w:rsid w:val="00920CF8"/>
    <w:rsid w:val="00922F9A"/>
    <w:rsid w:val="00925D4C"/>
    <w:rsid w:val="00935BDA"/>
    <w:rsid w:val="00944F2D"/>
    <w:rsid w:val="009561C3"/>
    <w:rsid w:val="00971D59"/>
    <w:rsid w:val="00975511"/>
    <w:rsid w:val="00981D1D"/>
    <w:rsid w:val="00982221"/>
    <w:rsid w:val="00984559"/>
    <w:rsid w:val="00984676"/>
    <w:rsid w:val="00985D11"/>
    <w:rsid w:val="009870B6"/>
    <w:rsid w:val="00996592"/>
    <w:rsid w:val="00996D54"/>
    <w:rsid w:val="009A25EE"/>
    <w:rsid w:val="009A7700"/>
    <w:rsid w:val="009B44FD"/>
    <w:rsid w:val="009B7707"/>
    <w:rsid w:val="009C02E0"/>
    <w:rsid w:val="009C1128"/>
    <w:rsid w:val="009C1B31"/>
    <w:rsid w:val="009C1C8C"/>
    <w:rsid w:val="009C625C"/>
    <w:rsid w:val="009C7C5D"/>
    <w:rsid w:val="009D3D39"/>
    <w:rsid w:val="009D4082"/>
    <w:rsid w:val="009D7234"/>
    <w:rsid w:val="009E0F81"/>
    <w:rsid w:val="009E5F95"/>
    <w:rsid w:val="009F2FD8"/>
    <w:rsid w:val="009F3B46"/>
    <w:rsid w:val="00A01D78"/>
    <w:rsid w:val="00A02700"/>
    <w:rsid w:val="00A11750"/>
    <w:rsid w:val="00A16566"/>
    <w:rsid w:val="00A17DBF"/>
    <w:rsid w:val="00A20476"/>
    <w:rsid w:val="00A20528"/>
    <w:rsid w:val="00A236EC"/>
    <w:rsid w:val="00A256E4"/>
    <w:rsid w:val="00A35F2E"/>
    <w:rsid w:val="00A416A3"/>
    <w:rsid w:val="00A43D87"/>
    <w:rsid w:val="00A43E3F"/>
    <w:rsid w:val="00A43F2B"/>
    <w:rsid w:val="00A44155"/>
    <w:rsid w:val="00A64350"/>
    <w:rsid w:val="00A82449"/>
    <w:rsid w:val="00A85CEE"/>
    <w:rsid w:val="00A92752"/>
    <w:rsid w:val="00A9361B"/>
    <w:rsid w:val="00A9430B"/>
    <w:rsid w:val="00AA09D9"/>
    <w:rsid w:val="00AA4B7F"/>
    <w:rsid w:val="00AB7356"/>
    <w:rsid w:val="00AC4B6F"/>
    <w:rsid w:val="00AD22B0"/>
    <w:rsid w:val="00AD30F5"/>
    <w:rsid w:val="00AD38C5"/>
    <w:rsid w:val="00AD750C"/>
    <w:rsid w:val="00AD79B8"/>
    <w:rsid w:val="00AE3238"/>
    <w:rsid w:val="00AE7726"/>
    <w:rsid w:val="00AF44A6"/>
    <w:rsid w:val="00AF742C"/>
    <w:rsid w:val="00B00AE6"/>
    <w:rsid w:val="00B00FDC"/>
    <w:rsid w:val="00B070F3"/>
    <w:rsid w:val="00B14D8D"/>
    <w:rsid w:val="00B20ABD"/>
    <w:rsid w:val="00B23E17"/>
    <w:rsid w:val="00B25E4E"/>
    <w:rsid w:val="00B30E1F"/>
    <w:rsid w:val="00B3324C"/>
    <w:rsid w:val="00B36B04"/>
    <w:rsid w:val="00B36B50"/>
    <w:rsid w:val="00B36E7A"/>
    <w:rsid w:val="00B42BDA"/>
    <w:rsid w:val="00B437B2"/>
    <w:rsid w:val="00B44329"/>
    <w:rsid w:val="00B44B18"/>
    <w:rsid w:val="00B458B2"/>
    <w:rsid w:val="00B45EB7"/>
    <w:rsid w:val="00B517A2"/>
    <w:rsid w:val="00B52707"/>
    <w:rsid w:val="00B55716"/>
    <w:rsid w:val="00B57E09"/>
    <w:rsid w:val="00B653EB"/>
    <w:rsid w:val="00B84B15"/>
    <w:rsid w:val="00B84C2D"/>
    <w:rsid w:val="00B84E03"/>
    <w:rsid w:val="00B85152"/>
    <w:rsid w:val="00B85D56"/>
    <w:rsid w:val="00B9185C"/>
    <w:rsid w:val="00BA1B41"/>
    <w:rsid w:val="00BA623A"/>
    <w:rsid w:val="00BB1A33"/>
    <w:rsid w:val="00BC08E6"/>
    <w:rsid w:val="00BC1B78"/>
    <w:rsid w:val="00BC2E24"/>
    <w:rsid w:val="00BC4C0A"/>
    <w:rsid w:val="00BD051B"/>
    <w:rsid w:val="00BD0E3C"/>
    <w:rsid w:val="00BD2786"/>
    <w:rsid w:val="00BD3783"/>
    <w:rsid w:val="00BD4955"/>
    <w:rsid w:val="00BE5A9B"/>
    <w:rsid w:val="00BF47D0"/>
    <w:rsid w:val="00BF7E99"/>
    <w:rsid w:val="00C0693F"/>
    <w:rsid w:val="00C0789A"/>
    <w:rsid w:val="00C13502"/>
    <w:rsid w:val="00C151E8"/>
    <w:rsid w:val="00C23349"/>
    <w:rsid w:val="00C26D8E"/>
    <w:rsid w:val="00C26F35"/>
    <w:rsid w:val="00C321C3"/>
    <w:rsid w:val="00C37928"/>
    <w:rsid w:val="00C433D8"/>
    <w:rsid w:val="00C45B7D"/>
    <w:rsid w:val="00C5248E"/>
    <w:rsid w:val="00C5303C"/>
    <w:rsid w:val="00C5457F"/>
    <w:rsid w:val="00C5622D"/>
    <w:rsid w:val="00C56AB6"/>
    <w:rsid w:val="00C60557"/>
    <w:rsid w:val="00C62637"/>
    <w:rsid w:val="00C6531C"/>
    <w:rsid w:val="00C75723"/>
    <w:rsid w:val="00C75B10"/>
    <w:rsid w:val="00C7709E"/>
    <w:rsid w:val="00C87240"/>
    <w:rsid w:val="00C8765C"/>
    <w:rsid w:val="00C9010D"/>
    <w:rsid w:val="00C903F3"/>
    <w:rsid w:val="00C9280E"/>
    <w:rsid w:val="00C9285D"/>
    <w:rsid w:val="00C928E2"/>
    <w:rsid w:val="00C977C2"/>
    <w:rsid w:val="00CA404B"/>
    <w:rsid w:val="00CA5DA0"/>
    <w:rsid w:val="00CB221F"/>
    <w:rsid w:val="00CC022A"/>
    <w:rsid w:val="00CC111D"/>
    <w:rsid w:val="00CC5230"/>
    <w:rsid w:val="00CC7118"/>
    <w:rsid w:val="00CD6CB5"/>
    <w:rsid w:val="00CE07D7"/>
    <w:rsid w:val="00D0686C"/>
    <w:rsid w:val="00D10F71"/>
    <w:rsid w:val="00D16C5E"/>
    <w:rsid w:val="00D2172A"/>
    <w:rsid w:val="00D2365B"/>
    <w:rsid w:val="00D238F2"/>
    <w:rsid w:val="00D31F60"/>
    <w:rsid w:val="00D32413"/>
    <w:rsid w:val="00D357EF"/>
    <w:rsid w:val="00D36E07"/>
    <w:rsid w:val="00D45D44"/>
    <w:rsid w:val="00D50E92"/>
    <w:rsid w:val="00D51A57"/>
    <w:rsid w:val="00D52F2E"/>
    <w:rsid w:val="00D55158"/>
    <w:rsid w:val="00D6503F"/>
    <w:rsid w:val="00D65896"/>
    <w:rsid w:val="00D74829"/>
    <w:rsid w:val="00D77618"/>
    <w:rsid w:val="00D806C5"/>
    <w:rsid w:val="00D917B4"/>
    <w:rsid w:val="00D93CF2"/>
    <w:rsid w:val="00DA0833"/>
    <w:rsid w:val="00DA0D07"/>
    <w:rsid w:val="00DA2E4A"/>
    <w:rsid w:val="00DA32B8"/>
    <w:rsid w:val="00DA33AF"/>
    <w:rsid w:val="00DA6D81"/>
    <w:rsid w:val="00DB307D"/>
    <w:rsid w:val="00DB53B0"/>
    <w:rsid w:val="00DB5A17"/>
    <w:rsid w:val="00DC0838"/>
    <w:rsid w:val="00DC467C"/>
    <w:rsid w:val="00DD3D5B"/>
    <w:rsid w:val="00DD608E"/>
    <w:rsid w:val="00DE0508"/>
    <w:rsid w:val="00DE697D"/>
    <w:rsid w:val="00DF4D1A"/>
    <w:rsid w:val="00DF5056"/>
    <w:rsid w:val="00DF65DF"/>
    <w:rsid w:val="00E03EA1"/>
    <w:rsid w:val="00E04EF9"/>
    <w:rsid w:val="00E0694D"/>
    <w:rsid w:val="00E079F3"/>
    <w:rsid w:val="00E15F7F"/>
    <w:rsid w:val="00E16248"/>
    <w:rsid w:val="00E17911"/>
    <w:rsid w:val="00E20BAB"/>
    <w:rsid w:val="00E23AD5"/>
    <w:rsid w:val="00E27E23"/>
    <w:rsid w:val="00E4283D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716E1"/>
    <w:rsid w:val="00E75503"/>
    <w:rsid w:val="00E76AFF"/>
    <w:rsid w:val="00E800B7"/>
    <w:rsid w:val="00E91151"/>
    <w:rsid w:val="00E943ED"/>
    <w:rsid w:val="00E94FDB"/>
    <w:rsid w:val="00EA1ECF"/>
    <w:rsid w:val="00EA2151"/>
    <w:rsid w:val="00EA4BC6"/>
    <w:rsid w:val="00EA529F"/>
    <w:rsid w:val="00EB059A"/>
    <w:rsid w:val="00EB310B"/>
    <w:rsid w:val="00EB41EF"/>
    <w:rsid w:val="00EB4892"/>
    <w:rsid w:val="00EB7A03"/>
    <w:rsid w:val="00EC04F8"/>
    <w:rsid w:val="00ED522F"/>
    <w:rsid w:val="00ED5D52"/>
    <w:rsid w:val="00ED5D98"/>
    <w:rsid w:val="00EE0BBB"/>
    <w:rsid w:val="00EE14CE"/>
    <w:rsid w:val="00EE4243"/>
    <w:rsid w:val="00EF7C88"/>
    <w:rsid w:val="00F007DB"/>
    <w:rsid w:val="00F0332C"/>
    <w:rsid w:val="00F07E63"/>
    <w:rsid w:val="00F1467A"/>
    <w:rsid w:val="00F15489"/>
    <w:rsid w:val="00F22310"/>
    <w:rsid w:val="00F355F9"/>
    <w:rsid w:val="00F359CE"/>
    <w:rsid w:val="00F45499"/>
    <w:rsid w:val="00F46EFC"/>
    <w:rsid w:val="00F5284F"/>
    <w:rsid w:val="00F54727"/>
    <w:rsid w:val="00F65BFA"/>
    <w:rsid w:val="00F8399F"/>
    <w:rsid w:val="00F8614A"/>
    <w:rsid w:val="00F87289"/>
    <w:rsid w:val="00FA169A"/>
    <w:rsid w:val="00FA34D7"/>
    <w:rsid w:val="00FA3E46"/>
    <w:rsid w:val="00FA4911"/>
    <w:rsid w:val="00FC11EE"/>
    <w:rsid w:val="00FC1A96"/>
    <w:rsid w:val="00FC209E"/>
    <w:rsid w:val="00FD1180"/>
    <w:rsid w:val="00FD7412"/>
    <w:rsid w:val="00FE3534"/>
    <w:rsid w:val="00FE3A93"/>
    <w:rsid w:val="00FE643B"/>
    <w:rsid w:val="00FF2959"/>
    <w:rsid w:val="00FF4EB1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419BD8"/>
  <w15:docId w15:val="{AC1BA4A5-A32F-4936-8E7B-BF953CF2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2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oaiss.state.pa.us/HR-Pay_Help_Desk/Login.asp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2262C9143742D5B8A5A8F68625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4BBF-A53C-4C9C-86BF-F5B7803BA4C7}"/>
      </w:docPartPr>
      <w:docPartBody>
        <w:p w:rsidR="00220A12" w:rsidRDefault="00220A12">
          <w:pPr>
            <w:pStyle w:val="D32262C9143742D5B8A5A8F68625311C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1DBB4FE9B6345BB8ED9EA40577C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D0A1-5EC9-4674-8A74-6DB1C2D1ADF7}"/>
      </w:docPartPr>
      <w:docPartBody>
        <w:p w:rsidR="00220A12" w:rsidRDefault="00220A12">
          <w:pPr>
            <w:pStyle w:val="D1DBB4FE9B6345BB8ED9EA40577CFE92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CE371D3513324C21B3AD639EFE53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837D-836C-4EBA-ACF7-BCDFC47073E1}"/>
      </w:docPartPr>
      <w:docPartBody>
        <w:p w:rsidR="00220A12" w:rsidRDefault="00220A12">
          <w:pPr>
            <w:pStyle w:val="CE371D3513324C21B3AD639EFE53F39F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2"/>
    <w:rsid w:val="00044F9E"/>
    <w:rsid w:val="00220A12"/>
    <w:rsid w:val="003323C4"/>
    <w:rsid w:val="00776CC7"/>
    <w:rsid w:val="00875D82"/>
    <w:rsid w:val="00A7140F"/>
    <w:rsid w:val="00AE1A6A"/>
    <w:rsid w:val="00F7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D32262C9143742D5B8A5A8F68625311C">
    <w:name w:val="D32262C9143742D5B8A5A8F68625311C"/>
  </w:style>
  <w:style w:type="paragraph" w:customStyle="1" w:styleId="D1DBB4FE9B6345BB8ED9EA40577CFE92">
    <w:name w:val="D1DBB4FE9B6345BB8ED9EA40577CFE92"/>
  </w:style>
  <w:style w:type="paragraph" w:customStyle="1" w:styleId="CE371D3513324C21B3AD639EFE53F39F">
    <w:name w:val="CE371D3513324C21B3AD639EFE53F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003C4-3E63-4727-B18A-63C9323E61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8ACE61-CF83-4E22-A5C4-040D653AF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23B58-E82A-46B9-81F5-2F0DF45B73A7}"/>
</file>

<file path=customXml/itemProps4.xml><?xml version="1.0" encoding="utf-8"?>
<ds:datastoreItem xmlns:ds="http://schemas.openxmlformats.org/officeDocument/2006/customXml" ds:itemID="{A68A146A-31DC-49DD-AF2B-731F99E7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2019 NEOGOV Enhancements</vt:lpstr>
    </vt:vector>
  </TitlesOfParts>
  <Company>Office of Administration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2019 NEOGOV Enhancements</dc:title>
  <dc:subject>Information regarding the December 2019 release of enhancements to the NEOGOV Applicant Tracking System.</dc:subject>
  <dc:creator>Rummel, Jordan</dc:creator>
  <cp:keywords>Description, Keywords, Operations, Personnel Administration</cp:keywords>
  <dc:description/>
  <cp:lastModifiedBy>Rummel, Jordan</cp:lastModifiedBy>
  <cp:revision>13</cp:revision>
  <cp:lastPrinted>2011-02-25T13:44:00Z</cp:lastPrinted>
  <dcterms:created xsi:type="dcterms:W3CDTF">2019-12-18T12:45:00Z</dcterms:created>
  <dcterms:modified xsi:type="dcterms:W3CDTF">2019-12-18T13:09:00Z</dcterms:modified>
  <cp:category>Talent Acquisition Alert</cp:category>
  <cp:contentStatus>2019-11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