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4B6FF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0AED59CA" w14:textId="77777777" w:rsidR="00897483" w:rsidRPr="00472D0E" w:rsidRDefault="00897483" w:rsidP="00897483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</w:t>
      </w:r>
      <w:r w:rsidRPr="00AD14AD">
        <w:rPr>
          <w:rFonts w:ascii="Verdana" w:hAnsi="Verdana" w:cs="Verdana"/>
          <w:b/>
          <w:bCs/>
          <w:i/>
          <w:iCs/>
          <w:sz w:val="20"/>
          <w:szCs w:val="20"/>
        </w:rPr>
        <w:t>for</w:t>
      </w:r>
      <w:r w:rsidR="00CB342D" w:rsidRPr="00AD14AD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4F2264">
        <w:rPr>
          <w:rFonts w:ascii="Verdana" w:hAnsi="Verdana" w:cs="Verdana"/>
          <w:b/>
          <w:bCs/>
          <w:i/>
          <w:iCs/>
          <w:sz w:val="20"/>
          <w:szCs w:val="20"/>
        </w:rPr>
        <w:t>pay increase information.</w:t>
      </w:r>
    </w:p>
    <w:p w14:paraId="4E9A455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F621157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403FF313" w14:textId="08EE3BF2" w:rsidR="00377242" w:rsidRPr="009C625C" w:rsidRDefault="00FD0203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D5725D322BA404980D07692A1627D9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F2264">
            <w:rPr>
              <w:rFonts w:ascii="Verdana" w:hAnsi="Verdana" w:cs="Verdana"/>
              <w:b/>
              <w:sz w:val="20"/>
              <w:szCs w:val="20"/>
            </w:rPr>
            <w:t>January 201</w:t>
          </w:r>
          <w:r w:rsidR="00013CE3">
            <w:rPr>
              <w:rFonts w:ascii="Verdana" w:hAnsi="Verdana" w:cs="Verdana"/>
              <w:b/>
              <w:sz w:val="20"/>
              <w:szCs w:val="20"/>
            </w:rPr>
            <w:t>9</w:t>
          </w:r>
          <w:r w:rsidR="004F2264">
            <w:rPr>
              <w:rFonts w:ascii="Verdana" w:hAnsi="Verdana" w:cs="Verdana"/>
              <w:b/>
              <w:sz w:val="20"/>
              <w:szCs w:val="20"/>
            </w:rPr>
            <w:t xml:space="preserve"> Mass Compensation Processing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705CE9C7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7817B3E" w14:textId="6C130F59" w:rsidR="00377242" w:rsidRPr="009C625C" w:rsidRDefault="00FD0203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14FE649119BD4829BCDF4D1242F0A1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03B5">
            <w:rPr>
              <w:rFonts w:ascii="Verdana" w:hAnsi="Verdana" w:cs="Verdana"/>
              <w:sz w:val="20"/>
              <w:szCs w:val="20"/>
            </w:rPr>
            <w:t>Information regardi</w:t>
          </w:r>
          <w:r w:rsidR="004F2264">
            <w:rPr>
              <w:rFonts w:ascii="Verdana" w:hAnsi="Verdana" w:cs="Verdana"/>
              <w:sz w:val="20"/>
              <w:szCs w:val="20"/>
            </w:rPr>
            <w:t>ng the schedule for the January 201</w:t>
          </w:r>
          <w:r w:rsidR="00013CE3">
            <w:rPr>
              <w:rFonts w:ascii="Verdana" w:hAnsi="Verdana" w:cs="Verdana"/>
              <w:sz w:val="20"/>
              <w:szCs w:val="20"/>
            </w:rPr>
            <w:t>9</w:t>
          </w:r>
          <w:r w:rsidR="004F2264">
            <w:rPr>
              <w:rFonts w:ascii="Verdana" w:hAnsi="Verdana" w:cs="Verdana"/>
              <w:sz w:val="20"/>
              <w:szCs w:val="20"/>
            </w:rPr>
            <w:t xml:space="preserve"> mass compensation processing.</w:t>
          </w:r>
        </w:sdtContent>
      </w:sdt>
    </w:p>
    <w:p w14:paraId="7D61CE6A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186AED6C" w14:textId="77777777" w:rsidR="00F10ECF" w:rsidRPr="00137538" w:rsidRDefault="00F10ECF" w:rsidP="00F10ECF">
      <w:pPr>
        <w:rPr>
          <w:rFonts w:ascii="Verdana" w:hAnsi="Verdana" w:cs="Verdana"/>
          <w:b/>
          <w:sz w:val="20"/>
          <w:szCs w:val="20"/>
          <w:u w:val="single"/>
        </w:rPr>
      </w:pPr>
      <w:r w:rsidRPr="00175E9F">
        <w:rPr>
          <w:rFonts w:ascii="Verdana" w:hAnsi="Verdana" w:cs="Verdana"/>
          <w:b/>
          <w:sz w:val="20"/>
          <w:szCs w:val="20"/>
          <w:u w:val="single"/>
        </w:rPr>
        <w:t>General Pay Increases</w:t>
      </w:r>
    </w:p>
    <w:p w14:paraId="5922F544" w14:textId="09ADA9F3" w:rsidR="00F10ECF" w:rsidRPr="00137538" w:rsidRDefault="00F10ECF" w:rsidP="00F10EC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January 2019</w:t>
      </w:r>
      <w:r w:rsidRPr="00137538">
        <w:rPr>
          <w:rFonts w:ascii="Verdana" w:hAnsi="Verdana" w:cs="Verdana"/>
          <w:sz w:val="20"/>
          <w:szCs w:val="20"/>
        </w:rPr>
        <w:t>, General Pay Increases will process for eligible employees according to the following schedule:</w:t>
      </w:r>
    </w:p>
    <w:p w14:paraId="2D2811EA" w14:textId="77777777" w:rsidR="00F10ECF" w:rsidRPr="00137538" w:rsidRDefault="00F10ECF" w:rsidP="00F10ECF">
      <w:pPr>
        <w:rPr>
          <w:rFonts w:ascii="Verdana" w:hAnsi="Verdana" w:cs="Verdana"/>
          <w:sz w:val="20"/>
          <w:szCs w:val="20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633"/>
        <w:gridCol w:w="1440"/>
        <w:gridCol w:w="1440"/>
        <w:gridCol w:w="1440"/>
      </w:tblGrid>
      <w:tr w:rsidR="00F10ECF" w:rsidRPr="00137538" w14:paraId="45D0865B" w14:textId="77777777" w:rsidTr="007F6E91">
        <w:trPr>
          <w:trHeight w:val="332"/>
        </w:trPr>
        <w:tc>
          <w:tcPr>
            <w:tcW w:w="2520" w:type="dxa"/>
            <w:shd w:val="clear" w:color="auto" w:fill="auto"/>
          </w:tcPr>
          <w:p w14:paraId="7543FA2C" w14:textId="77777777" w:rsidR="00F10ECF" w:rsidRPr="00137538" w:rsidRDefault="00F10ECF" w:rsidP="007F6E91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Contract Name &amp; Bargaining Units</w:t>
            </w:r>
          </w:p>
        </w:tc>
        <w:tc>
          <w:tcPr>
            <w:tcW w:w="2633" w:type="dxa"/>
            <w:shd w:val="clear" w:color="auto" w:fill="auto"/>
          </w:tcPr>
          <w:p w14:paraId="4BE164B7" w14:textId="77777777" w:rsidR="00F10ECF" w:rsidRPr="00137538" w:rsidRDefault="00F10ECF" w:rsidP="007F6E91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Pay Scale</w:t>
            </w:r>
          </w:p>
        </w:tc>
        <w:tc>
          <w:tcPr>
            <w:tcW w:w="1440" w:type="dxa"/>
          </w:tcPr>
          <w:p w14:paraId="20E1AEB4" w14:textId="77777777" w:rsidR="00F10ECF" w:rsidRPr="00137538" w:rsidRDefault="00F10ECF" w:rsidP="007F6E91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Processing Date(s)</w:t>
            </w:r>
          </w:p>
        </w:tc>
        <w:tc>
          <w:tcPr>
            <w:tcW w:w="1440" w:type="dxa"/>
          </w:tcPr>
          <w:p w14:paraId="0CF7EA4A" w14:textId="77777777" w:rsidR="00F10ECF" w:rsidRPr="00137538" w:rsidRDefault="00F10ECF" w:rsidP="007F6E91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Effective Date(s)</w:t>
            </w:r>
          </w:p>
        </w:tc>
        <w:tc>
          <w:tcPr>
            <w:tcW w:w="1440" w:type="dxa"/>
          </w:tcPr>
          <w:p w14:paraId="1DE3C385" w14:textId="77777777" w:rsidR="00F10ECF" w:rsidRPr="00137538" w:rsidRDefault="00F10ECF" w:rsidP="007F6E91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Pay Date(s)</w:t>
            </w:r>
          </w:p>
        </w:tc>
      </w:tr>
      <w:tr w:rsidR="00F10ECF" w:rsidRPr="00137538" w14:paraId="4ED4CB04" w14:textId="77777777" w:rsidTr="007F6E91">
        <w:trPr>
          <w:trHeight w:val="584"/>
        </w:trPr>
        <w:tc>
          <w:tcPr>
            <w:tcW w:w="2520" w:type="dxa"/>
            <w:shd w:val="clear" w:color="auto" w:fill="auto"/>
            <w:vAlign w:val="center"/>
          </w:tcPr>
          <w:p w14:paraId="6BBF1E02" w14:textId="77777777" w:rsidR="00F10ECF" w:rsidRPr="00137538" w:rsidRDefault="00F10ECF" w:rsidP="007F6E9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37538">
              <w:rPr>
                <w:rFonts w:ascii="Verdana" w:hAnsi="Verdana"/>
                <w:sz w:val="20"/>
                <w:szCs w:val="20"/>
              </w:rPr>
              <w:t>PSEA (S4)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1DEF2179" w14:textId="77777777" w:rsidR="00F10ECF" w:rsidRPr="00137538" w:rsidRDefault="00F10ECF" w:rsidP="007F6E91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137538">
              <w:rPr>
                <w:rFonts w:ascii="Verdana" w:hAnsi="Verdana"/>
                <w:sz w:val="20"/>
                <w:szCs w:val="20"/>
              </w:rPr>
              <w:t>ED</w:t>
            </w:r>
            <w:r>
              <w:rPr>
                <w:rFonts w:ascii="Verdana" w:hAnsi="Verdana"/>
                <w:sz w:val="20"/>
                <w:szCs w:val="20"/>
              </w:rPr>
              <w:t xml:space="preserve"> (Pay Scale Area TF)</w:t>
            </w:r>
          </w:p>
        </w:tc>
        <w:tc>
          <w:tcPr>
            <w:tcW w:w="1440" w:type="dxa"/>
            <w:vMerge w:val="restart"/>
            <w:vAlign w:val="center"/>
          </w:tcPr>
          <w:p w14:paraId="79E3E46A" w14:textId="77777777" w:rsidR="00F10ECF" w:rsidRPr="00137538" w:rsidRDefault="00F10ECF" w:rsidP="007F6E91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Z1/Z3</w:t>
            </w:r>
          </w:p>
          <w:p w14:paraId="36BE9EF5" w14:textId="77777777" w:rsidR="00F10ECF" w:rsidRPr="00137538" w:rsidRDefault="00F10ECF" w:rsidP="007F6E91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01/01/2019</w:t>
            </w:r>
          </w:p>
        </w:tc>
        <w:tc>
          <w:tcPr>
            <w:tcW w:w="1440" w:type="dxa"/>
            <w:vMerge w:val="restart"/>
            <w:vAlign w:val="center"/>
          </w:tcPr>
          <w:p w14:paraId="49E4FEEF" w14:textId="77777777" w:rsidR="00F10ECF" w:rsidRPr="00137538" w:rsidRDefault="00F10ECF" w:rsidP="007F6E91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Z3</w:t>
            </w:r>
          </w:p>
          <w:p w14:paraId="7115002C" w14:textId="77777777" w:rsidR="00F10ECF" w:rsidRDefault="00F10ECF" w:rsidP="007F6E91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01/05/2019</w:t>
            </w:r>
          </w:p>
          <w:p w14:paraId="4DB480A9" w14:textId="77777777" w:rsidR="00F10ECF" w:rsidRDefault="00F10ECF" w:rsidP="007F6E91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0B8A3CB" w14:textId="77777777" w:rsidR="00F10ECF" w:rsidRPr="00137538" w:rsidRDefault="00F10ECF" w:rsidP="007F6E91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Z1</w:t>
            </w:r>
          </w:p>
          <w:p w14:paraId="667078C3" w14:textId="77777777" w:rsidR="00F10ECF" w:rsidRPr="00137538" w:rsidRDefault="00F10ECF" w:rsidP="007F6E91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01/13/2019</w:t>
            </w:r>
          </w:p>
        </w:tc>
        <w:tc>
          <w:tcPr>
            <w:tcW w:w="1440" w:type="dxa"/>
            <w:vMerge w:val="restart"/>
            <w:vAlign w:val="center"/>
          </w:tcPr>
          <w:p w14:paraId="03D5BEC3" w14:textId="77777777" w:rsidR="00F10ECF" w:rsidRPr="00137538" w:rsidRDefault="00F10ECF" w:rsidP="007F6E91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Z3</w:t>
            </w:r>
          </w:p>
          <w:p w14:paraId="3A040439" w14:textId="77777777" w:rsidR="00F10ECF" w:rsidRDefault="00F10ECF" w:rsidP="007F6E91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02/01/2019</w:t>
            </w:r>
          </w:p>
          <w:p w14:paraId="4722E030" w14:textId="77777777" w:rsidR="00F10ECF" w:rsidRDefault="00F10ECF" w:rsidP="007F6E91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FFF7758" w14:textId="77777777" w:rsidR="00F10ECF" w:rsidRPr="00137538" w:rsidRDefault="00F10ECF" w:rsidP="007F6E91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Z1</w:t>
            </w:r>
          </w:p>
          <w:p w14:paraId="26921FA5" w14:textId="77777777" w:rsidR="00F10ECF" w:rsidRPr="00137538" w:rsidRDefault="00F10ECF" w:rsidP="007F6E91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02/08/2019</w:t>
            </w:r>
          </w:p>
        </w:tc>
      </w:tr>
      <w:tr w:rsidR="00F10ECF" w:rsidRPr="00137538" w14:paraId="474CA987" w14:textId="77777777" w:rsidTr="007F6E91">
        <w:trPr>
          <w:trHeight w:val="332"/>
        </w:trPr>
        <w:tc>
          <w:tcPr>
            <w:tcW w:w="2520" w:type="dxa"/>
            <w:shd w:val="clear" w:color="auto" w:fill="auto"/>
            <w:vAlign w:val="center"/>
          </w:tcPr>
          <w:p w14:paraId="547D3CA2" w14:textId="77777777" w:rsidR="00F10ECF" w:rsidRPr="00137538" w:rsidRDefault="00F10ECF" w:rsidP="007F6E9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37538">
              <w:rPr>
                <w:rFonts w:ascii="Verdana" w:hAnsi="Verdana"/>
                <w:sz w:val="20"/>
                <w:szCs w:val="20"/>
              </w:rPr>
              <w:t xml:space="preserve">CIVEA (E4, E7) 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638BE712" w14:textId="77777777" w:rsidR="00F10ECF" w:rsidRPr="00137538" w:rsidRDefault="00F10ECF" w:rsidP="007F6E91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137538">
              <w:rPr>
                <w:rFonts w:ascii="Verdana" w:hAnsi="Verdana"/>
                <w:sz w:val="20"/>
                <w:szCs w:val="20"/>
              </w:rPr>
              <w:t>ED</w:t>
            </w:r>
            <w:r>
              <w:rPr>
                <w:rFonts w:ascii="Verdana" w:hAnsi="Verdana"/>
                <w:sz w:val="20"/>
                <w:szCs w:val="20"/>
              </w:rPr>
              <w:t xml:space="preserve"> (Pay Scale Area TE)</w:t>
            </w:r>
          </w:p>
        </w:tc>
        <w:tc>
          <w:tcPr>
            <w:tcW w:w="1440" w:type="dxa"/>
            <w:vMerge/>
            <w:vAlign w:val="center"/>
          </w:tcPr>
          <w:p w14:paraId="092C7DAD" w14:textId="77777777" w:rsidR="00F10ECF" w:rsidRPr="00137538" w:rsidRDefault="00F10ECF" w:rsidP="007F6E91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ADE0B0D" w14:textId="77777777" w:rsidR="00F10ECF" w:rsidRPr="00137538" w:rsidRDefault="00F10ECF" w:rsidP="007F6E91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035AA3DB" w14:textId="77777777" w:rsidR="00F10ECF" w:rsidRPr="00137538" w:rsidRDefault="00F10ECF" w:rsidP="007F6E91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C38B0FE" w14:textId="45330EB3" w:rsidR="00A90380" w:rsidRDefault="00A90380" w:rsidP="00E56507">
      <w:pPr>
        <w:rPr>
          <w:rFonts w:ascii="Verdana" w:hAnsi="Verdana" w:cs="Verdana"/>
          <w:b/>
          <w:bCs/>
          <w:sz w:val="20"/>
          <w:szCs w:val="20"/>
        </w:rPr>
      </w:pPr>
    </w:p>
    <w:p w14:paraId="565D3B5E" w14:textId="77777777" w:rsidR="00A17878" w:rsidRPr="00137538" w:rsidRDefault="00A17878" w:rsidP="00A17878">
      <w:pPr>
        <w:rPr>
          <w:rFonts w:ascii="Verdana" w:hAnsi="Verdana" w:cs="Verdana"/>
          <w:b/>
          <w:sz w:val="20"/>
          <w:szCs w:val="20"/>
          <w:u w:val="single"/>
        </w:rPr>
      </w:pPr>
      <w:r w:rsidRPr="00175E9F">
        <w:rPr>
          <w:rFonts w:ascii="Verdana" w:hAnsi="Verdana" w:cs="Verdana"/>
          <w:b/>
          <w:sz w:val="20"/>
          <w:szCs w:val="20"/>
          <w:u w:val="single"/>
        </w:rPr>
        <w:t>Monthly Enforcement Increments</w:t>
      </w:r>
    </w:p>
    <w:p w14:paraId="51BB7577" w14:textId="34FBC2F0" w:rsidR="00A17878" w:rsidRPr="00137538" w:rsidRDefault="00A17878" w:rsidP="00A1787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January 2019</w:t>
      </w:r>
      <w:r w:rsidRPr="00137538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m</w:t>
      </w:r>
      <w:r w:rsidRPr="00137538">
        <w:rPr>
          <w:rFonts w:ascii="Verdana" w:hAnsi="Verdana" w:cs="Verdana"/>
          <w:sz w:val="20"/>
          <w:szCs w:val="20"/>
        </w:rPr>
        <w:t xml:space="preserve">onthly </w:t>
      </w:r>
      <w:r>
        <w:rPr>
          <w:rFonts w:ascii="Verdana" w:hAnsi="Verdana" w:cs="Verdana"/>
          <w:sz w:val="20"/>
          <w:szCs w:val="20"/>
        </w:rPr>
        <w:t>e</w:t>
      </w:r>
      <w:r w:rsidRPr="00137538">
        <w:rPr>
          <w:rFonts w:ascii="Verdana" w:hAnsi="Verdana" w:cs="Verdana"/>
          <w:sz w:val="20"/>
          <w:szCs w:val="20"/>
        </w:rPr>
        <w:t xml:space="preserve">nforcement </w:t>
      </w:r>
      <w:r>
        <w:rPr>
          <w:rFonts w:ascii="Verdana" w:hAnsi="Verdana" w:cs="Verdana"/>
          <w:sz w:val="20"/>
          <w:szCs w:val="20"/>
        </w:rPr>
        <w:t>i</w:t>
      </w:r>
      <w:r w:rsidRPr="00137538">
        <w:rPr>
          <w:rFonts w:ascii="Verdana" w:hAnsi="Verdana" w:cs="Verdana"/>
          <w:sz w:val="20"/>
          <w:szCs w:val="20"/>
        </w:rPr>
        <w:t>ncrements will process for eligible employees according to the following schedule:</w:t>
      </w:r>
    </w:p>
    <w:p w14:paraId="1F963AC9" w14:textId="77777777" w:rsidR="00A17878" w:rsidRPr="00137538" w:rsidRDefault="00A17878" w:rsidP="00A17878">
      <w:pPr>
        <w:rPr>
          <w:rFonts w:ascii="Verdana" w:hAnsi="Verdana" w:cs="Verdana"/>
          <w:b/>
          <w:sz w:val="20"/>
          <w:szCs w:val="20"/>
          <w:u w:val="single"/>
        </w:rPr>
      </w:pPr>
    </w:p>
    <w:tbl>
      <w:tblPr>
        <w:tblW w:w="92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2"/>
        <w:gridCol w:w="1350"/>
        <w:gridCol w:w="2273"/>
        <w:gridCol w:w="1597"/>
      </w:tblGrid>
      <w:tr w:rsidR="00A17878" w:rsidRPr="00137538" w14:paraId="160F0D4B" w14:textId="77777777" w:rsidTr="007F6E91">
        <w:tc>
          <w:tcPr>
            <w:tcW w:w="4032" w:type="dxa"/>
          </w:tcPr>
          <w:p w14:paraId="615A01B7" w14:textId="77777777" w:rsidR="00A17878" w:rsidRPr="00137538" w:rsidRDefault="00A17878" w:rsidP="007F6E91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Contract Name &amp; Bargaining Units</w:t>
            </w:r>
          </w:p>
        </w:tc>
        <w:tc>
          <w:tcPr>
            <w:tcW w:w="1350" w:type="dxa"/>
            <w:shd w:val="clear" w:color="auto" w:fill="auto"/>
          </w:tcPr>
          <w:p w14:paraId="5500BB5F" w14:textId="77777777" w:rsidR="00A17878" w:rsidRPr="00137538" w:rsidRDefault="00A17878" w:rsidP="007F6E91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Pay Scale</w:t>
            </w:r>
          </w:p>
        </w:tc>
        <w:tc>
          <w:tcPr>
            <w:tcW w:w="2273" w:type="dxa"/>
            <w:shd w:val="clear" w:color="auto" w:fill="auto"/>
          </w:tcPr>
          <w:p w14:paraId="182108F3" w14:textId="77777777" w:rsidR="00A17878" w:rsidRPr="00137538" w:rsidRDefault="00A17878" w:rsidP="007F6E91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Effective Date(s)</w:t>
            </w:r>
          </w:p>
        </w:tc>
        <w:tc>
          <w:tcPr>
            <w:tcW w:w="1597" w:type="dxa"/>
            <w:shd w:val="clear" w:color="auto" w:fill="auto"/>
          </w:tcPr>
          <w:p w14:paraId="46611929" w14:textId="77777777" w:rsidR="00A17878" w:rsidRPr="00137538" w:rsidRDefault="00A17878" w:rsidP="007F6E91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Pay Dates(s)</w:t>
            </w:r>
          </w:p>
        </w:tc>
      </w:tr>
      <w:tr w:rsidR="00A17878" w:rsidRPr="00137538" w14:paraId="1A35DC2A" w14:textId="77777777" w:rsidTr="007F6E91">
        <w:trPr>
          <w:trHeight w:val="692"/>
        </w:trPr>
        <w:tc>
          <w:tcPr>
            <w:tcW w:w="4032" w:type="dxa"/>
            <w:vAlign w:val="center"/>
          </w:tcPr>
          <w:p w14:paraId="5A7DB017" w14:textId="77777777" w:rsidR="00A17878" w:rsidRPr="00137538" w:rsidRDefault="00A17878" w:rsidP="007F6E91">
            <w:pPr>
              <w:rPr>
                <w:rFonts w:ascii="Verdana" w:hAnsi="Verdana" w:cs="Verdana"/>
                <w:sz w:val="20"/>
                <w:szCs w:val="20"/>
              </w:rPr>
            </w:pPr>
            <w:r w:rsidRPr="00137538">
              <w:rPr>
                <w:rFonts w:ascii="Verdana" w:hAnsi="Verdana" w:cs="Verdana"/>
                <w:sz w:val="20"/>
                <w:szCs w:val="20"/>
              </w:rPr>
              <w:t>PSCOA (H1)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2D944E3" w14:textId="77777777" w:rsidR="00A17878" w:rsidRPr="00137538" w:rsidRDefault="00A17878" w:rsidP="007F6E9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37538">
              <w:rPr>
                <w:rFonts w:ascii="Verdana" w:hAnsi="Verdana" w:cs="Verdana"/>
                <w:sz w:val="20"/>
                <w:szCs w:val="20"/>
              </w:rPr>
              <w:t>CO</w:t>
            </w:r>
          </w:p>
        </w:tc>
        <w:tc>
          <w:tcPr>
            <w:tcW w:w="2273" w:type="dxa"/>
            <w:vMerge w:val="restart"/>
            <w:shd w:val="clear" w:color="auto" w:fill="auto"/>
          </w:tcPr>
          <w:p w14:paraId="04348CD7" w14:textId="77777777" w:rsidR="00A17878" w:rsidRDefault="00A17878" w:rsidP="007F6E91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6F0BB572" w14:textId="77777777" w:rsidR="00A17878" w:rsidRDefault="00A17878" w:rsidP="007F6E91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2F3CD019" w14:textId="77777777" w:rsidR="00A17878" w:rsidRDefault="00A17878" w:rsidP="007F6E91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4B082852" w14:textId="77777777" w:rsidR="00A17878" w:rsidRPr="00137538" w:rsidRDefault="00A17878" w:rsidP="007F6E91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Z3</w:t>
            </w:r>
          </w:p>
          <w:p w14:paraId="12FFB872" w14:textId="40E1C169" w:rsidR="00A17878" w:rsidRDefault="00A17878" w:rsidP="007F6E9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01/05/2019</w:t>
            </w:r>
          </w:p>
          <w:p w14:paraId="77539B0B" w14:textId="77777777" w:rsidR="00A17878" w:rsidRDefault="00A17878" w:rsidP="007F6E91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5D6FE696" w14:textId="77777777" w:rsidR="00A17878" w:rsidRPr="00137538" w:rsidRDefault="00A17878" w:rsidP="007F6E91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Z2</w:t>
            </w:r>
          </w:p>
          <w:p w14:paraId="28EDF06B" w14:textId="5DBA1F63" w:rsidR="00A17878" w:rsidRDefault="00A17878" w:rsidP="007F6E9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01/12/2019</w:t>
            </w:r>
          </w:p>
          <w:p w14:paraId="4B2D103D" w14:textId="77777777" w:rsidR="00A17878" w:rsidRPr="00137538" w:rsidRDefault="00A17878" w:rsidP="007F6E9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1AD4C60F" w14:textId="77777777" w:rsidR="00A17878" w:rsidRPr="00137538" w:rsidRDefault="00A17878" w:rsidP="007F6E91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Z1</w:t>
            </w:r>
          </w:p>
          <w:p w14:paraId="6FBEF561" w14:textId="2ADBD63C" w:rsidR="00A17878" w:rsidRPr="00137538" w:rsidRDefault="00A17878" w:rsidP="007F6E9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01/13/2019</w:t>
            </w:r>
          </w:p>
        </w:tc>
        <w:tc>
          <w:tcPr>
            <w:tcW w:w="1597" w:type="dxa"/>
            <w:vMerge w:val="restart"/>
            <w:shd w:val="clear" w:color="auto" w:fill="auto"/>
          </w:tcPr>
          <w:p w14:paraId="0BD87278" w14:textId="77777777" w:rsidR="00A17878" w:rsidRDefault="00A17878" w:rsidP="007F6E91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09AC0C2F" w14:textId="77777777" w:rsidR="00A17878" w:rsidRDefault="00A17878" w:rsidP="007F6E91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285C2F75" w14:textId="77777777" w:rsidR="00A17878" w:rsidRDefault="00A17878" w:rsidP="007F6E91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739560CF" w14:textId="77777777" w:rsidR="00A17878" w:rsidRPr="00137538" w:rsidRDefault="00A17878" w:rsidP="007F6E91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Z3</w:t>
            </w:r>
          </w:p>
          <w:p w14:paraId="44AFE613" w14:textId="77777777" w:rsidR="00A17878" w:rsidRDefault="00A17878" w:rsidP="007F6E9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02/01/2019</w:t>
            </w:r>
          </w:p>
          <w:p w14:paraId="2B1A50ED" w14:textId="77777777" w:rsidR="00A17878" w:rsidRDefault="00A17878" w:rsidP="007F6E91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2B9F6EC3" w14:textId="77777777" w:rsidR="00A17878" w:rsidRPr="00137538" w:rsidRDefault="00A17878" w:rsidP="007F6E91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Z2</w:t>
            </w:r>
          </w:p>
          <w:p w14:paraId="1E690070" w14:textId="77777777" w:rsidR="00A17878" w:rsidRDefault="00A17878" w:rsidP="007F6E9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02/08/2019</w:t>
            </w:r>
          </w:p>
          <w:p w14:paraId="3D429B1C" w14:textId="77777777" w:rsidR="00A17878" w:rsidRPr="00137538" w:rsidRDefault="00A17878" w:rsidP="007F6E9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3F455385" w14:textId="77777777" w:rsidR="00A17878" w:rsidRDefault="00A17878" w:rsidP="007F6E91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Z1</w:t>
            </w:r>
          </w:p>
          <w:p w14:paraId="61A1E0B1" w14:textId="77777777" w:rsidR="00A17878" w:rsidRPr="00137538" w:rsidRDefault="00A17878" w:rsidP="007F6E9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02/08/2019</w:t>
            </w:r>
          </w:p>
        </w:tc>
      </w:tr>
      <w:tr w:rsidR="00A17878" w:rsidRPr="00137538" w14:paraId="1C170558" w14:textId="77777777" w:rsidTr="007F6E91">
        <w:trPr>
          <w:trHeight w:val="791"/>
        </w:trPr>
        <w:tc>
          <w:tcPr>
            <w:tcW w:w="4032" w:type="dxa"/>
            <w:vAlign w:val="center"/>
          </w:tcPr>
          <w:p w14:paraId="1F4C0662" w14:textId="77777777" w:rsidR="00A17878" w:rsidRPr="00137538" w:rsidRDefault="00A17878" w:rsidP="007F6E9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FOP – Capitol Police (L4)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29DB03F" w14:textId="77777777" w:rsidR="00A17878" w:rsidRPr="00137538" w:rsidRDefault="00A17878" w:rsidP="007F6E9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37538"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  <w:tc>
          <w:tcPr>
            <w:tcW w:w="2273" w:type="dxa"/>
            <w:vMerge/>
            <w:shd w:val="clear" w:color="auto" w:fill="auto"/>
          </w:tcPr>
          <w:p w14:paraId="367F4824" w14:textId="77777777" w:rsidR="00A17878" w:rsidRPr="00137538" w:rsidRDefault="00A17878" w:rsidP="007F6E9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14:paraId="4BFF4C18" w14:textId="77777777" w:rsidR="00A17878" w:rsidRPr="00137538" w:rsidRDefault="00A17878" w:rsidP="007F6E9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A17878" w:rsidRPr="00137538" w14:paraId="38754DE6" w14:textId="77777777" w:rsidTr="007F6E91">
        <w:trPr>
          <w:trHeight w:val="629"/>
        </w:trPr>
        <w:tc>
          <w:tcPr>
            <w:tcW w:w="4032" w:type="dxa"/>
            <w:vAlign w:val="center"/>
          </w:tcPr>
          <w:p w14:paraId="3A34C587" w14:textId="77777777" w:rsidR="00A17878" w:rsidRDefault="00A17878" w:rsidP="007F6E9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Corrections Supervisory (A2, J2, N2)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8AAD9A" w14:textId="77777777" w:rsidR="00A17878" w:rsidRDefault="00A17878" w:rsidP="007F6E9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CS</w:t>
            </w:r>
          </w:p>
        </w:tc>
        <w:tc>
          <w:tcPr>
            <w:tcW w:w="2273" w:type="dxa"/>
            <w:vMerge/>
            <w:shd w:val="clear" w:color="auto" w:fill="auto"/>
          </w:tcPr>
          <w:p w14:paraId="0432B375" w14:textId="77777777" w:rsidR="00A17878" w:rsidRPr="00137538" w:rsidRDefault="00A17878" w:rsidP="007F6E9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14:paraId="281B400F" w14:textId="77777777" w:rsidR="00A17878" w:rsidRPr="00137538" w:rsidRDefault="00A17878" w:rsidP="007F6E9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A17878" w:rsidRPr="00137538" w14:paraId="4D263CBC" w14:textId="77777777" w:rsidTr="007F6E91">
        <w:trPr>
          <w:trHeight w:val="629"/>
        </w:trPr>
        <w:tc>
          <w:tcPr>
            <w:tcW w:w="4032" w:type="dxa"/>
            <w:vAlign w:val="center"/>
          </w:tcPr>
          <w:p w14:paraId="073A5137" w14:textId="77777777" w:rsidR="00A17878" w:rsidRPr="00137538" w:rsidRDefault="00A17878" w:rsidP="007F6E9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PSRA (R4)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34A6A98" w14:textId="77777777" w:rsidR="00A17878" w:rsidRPr="00137538" w:rsidRDefault="00A17878" w:rsidP="007F6E9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RG</w:t>
            </w:r>
          </w:p>
        </w:tc>
        <w:tc>
          <w:tcPr>
            <w:tcW w:w="2273" w:type="dxa"/>
            <w:vMerge/>
            <w:shd w:val="clear" w:color="auto" w:fill="auto"/>
          </w:tcPr>
          <w:p w14:paraId="38E82B3A" w14:textId="77777777" w:rsidR="00A17878" w:rsidRPr="00137538" w:rsidRDefault="00A17878" w:rsidP="007F6E9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14:paraId="3DCF1A06" w14:textId="77777777" w:rsidR="00A17878" w:rsidRPr="00137538" w:rsidRDefault="00A17878" w:rsidP="007F6E9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A17878" w:rsidRPr="00137538" w14:paraId="0BF94F68" w14:textId="77777777" w:rsidTr="007F6E91">
        <w:trPr>
          <w:trHeight w:val="629"/>
        </w:trPr>
        <w:tc>
          <w:tcPr>
            <w:tcW w:w="4032" w:type="dxa"/>
            <w:vAlign w:val="center"/>
          </w:tcPr>
          <w:p w14:paraId="4EF4C8FE" w14:textId="77777777" w:rsidR="00A17878" w:rsidRPr="00137538" w:rsidRDefault="00A17878" w:rsidP="007F6E91">
            <w:pPr>
              <w:rPr>
                <w:rFonts w:ascii="Verdana" w:hAnsi="Verdana" w:cs="Verdana"/>
                <w:sz w:val="20"/>
                <w:szCs w:val="20"/>
              </w:rPr>
            </w:pPr>
            <w:r w:rsidRPr="00137538">
              <w:rPr>
                <w:rFonts w:ascii="Verdana" w:hAnsi="Verdana" w:cs="Verdana"/>
                <w:sz w:val="20"/>
                <w:szCs w:val="20"/>
              </w:rPr>
              <w:t>PSTA (L1)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FCFAA2B" w14:textId="77777777" w:rsidR="00A17878" w:rsidRPr="00137538" w:rsidRDefault="00A17878" w:rsidP="007F6E9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37538">
              <w:rPr>
                <w:rFonts w:ascii="Verdana" w:hAnsi="Verdana" w:cs="Verdana"/>
                <w:sz w:val="20"/>
                <w:szCs w:val="20"/>
              </w:rPr>
              <w:t>SP</w:t>
            </w:r>
          </w:p>
        </w:tc>
        <w:tc>
          <w:tcPr>
            <w:tcW w:w="2273" w:type="dxa"/>
            <w:vMerge/>
            <w:shd w:val="clear" w:color="auto" w:fill="auto"/>
          </w:tcPr>
          <w:p w14:paraId="7CBFEAB1" w14:textId="77777777" w:rsidR="00A17878" w:rsidRPr="00137538" w:rsidRDefault="00A17878" w:rsidP="007F6E9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14:paraId="699B758B" w14:textId="77777777" w:rsidR="00A17878" w:rsidRPr="00137538" w:rsidRDefault="00A17878" w:rsidP="007F6E9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14:paraId="7668108F" w14:textId="77777777" w:rsidR="00A17878" w:rsidRDefault="00A17878" w:rsidP="00A17878">
      <w:pPr>
        <w:rPr>
          <w:rFonts w:ascii="Verdana" w:hAnsi="Verdana" w:cs="Verdana"/>
          <w:b/>
          <w:bCs/>
          <w:sz w:val="20"/>
          <w:szCs w:val="20"/>
        </w:rPr>
      </w:pPr>
    </w:p>
    <w:p w14:paraId="52C7CF01" w14:textId="11503E9B" w:rsidR="00A17878" w:rsidRDefault="00A17878" w:rsidP="00E56507">
      <w:pPr>
        <w:rPr>
          <w:rFonts w:ascii="Verdana" w:hAnsi="Verdana" w:cs="Verdana"/>
          <w:b/>
          <w:bCs/>
          <w:sz w:val="20"/>
          <w:szCs w:val="20"/>
        </w:rPr>
      </w:pPr>
    </w:p>
    <w:p w14:paraId="4E7E6F23" w14:textId="637A7FB5" w:rsidR="00A17878" w:rsidRDefault="00A17878" w:rsidP="00E56507">
      <w:pPr>
        <w:rPr>
          <w:rFonts w:ascii="Verdana" w:hAnsi="Verdana" w:cs="Verdana"/>
          <w:b/>
          <w:bCs/>
          <w:sz w:val="20"/>
          <w:szCs w:val="20"/>
        </w:rPr>
      </w:pPr>
    </w:p>
    <w:p w14:paraId="6D823577" w14:textId="374A19F5" w:rsidR="00A17878" w:rsidRDefault="00A17878" w:rsidP="00E56507">
      <w:pPr>
        <w:rPr>
          <w:rFonts w:ascii="Verdana" w:hAnsi="Verdana" w:cs="Verdana"/>
          <w:b/>
          <w:bCs/>
          <w:sz w:val="20"/>
          <w:szCs w:val="20"/>
        </w:rPr>
      </w:pPr>
    </w:p>
    <w:p w14:paraId="30D28C12" w14:textId="18544DA2" w:rsidR="00A17878" w:rsidRDefault="00A17878" w:rsidP="00E56507">
      <w:pPr>
        <w:rPr>
          <w:rFonts w:ascii="Verdana" w:hAnsi="Verdana" w:cs="Verdana"/>
          <w:b/>
          <w:bCs/>
          <w:sz w:val="20"/>
          <w:szCs w:val="20"/>
        </w:rPr>
      </w:pPr>
    </w:p>
    <w:p w14:paraId="7532F114" w14:textId="3E577311" w:rsidR="00A17878" w:rsidRDefault="00A17878" w:rsidP="00E56507">
      <w:pPr>
        <w:rPr>
          <w:rFonts w:ascii="Verdana" w:hAnsi="Verdana" w:cs="Verdana"/>
          <w:b/>
          <w:bCs/>
          <w:sz w:val="20"/>
          <w:szCs w:val="20"/>
        </w:rPr>
      </w:pPr>
    </w:p>
    <w:p w14:paraId="3BE6351C" w14:textId="09903629" w:rsidR="00A17878" w:rsidRDefault="00A17878" w:rsidP="00E56507">
      <w:pPr>
        <w:rPr>
          <w:rFonts w:ascii="Verdana" w:hAnsi="Verdana" w:cs="Verdana"/>
          <w:b/>
          <w:bCs/>
          <w:sz w:val="20"/>
          <w:szCs w:val="20"/>
        </w:rPr>
      </w:pPr>
    </w:p>
    <w:p w14:paraId="7C7A8534" w14:textId="77777777" w:rsidR="00A17878" w:rsidRDefault="00A17878" w:rsidP="00E56507">
      <w:pPr>
        <w:rPr>
          <w:rFonts w:ascii="Verdana" w:hAnsi="Verdana" w:cs="Verdana"/>
          <w:b/>
          <w:bCs/>
          <w:sz w:val="20"/>
          <w:szCs w:val="20"/>
        </w:rPr>
      </w:pPr>
    </w:p>
    <w:p w14:paraId="15EADD1D" w14:textId="77777777" w:rsidR="008E05EF" w:rsidRDefault="004F2264" w:rsidP="00E56507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175E9F">
        <w:rPr>
          <w:rFonts w:ascii="Verdana" w:hAnsi="Verdana" w:cs="Verdana"/>
          <w:b/>
          <w:bCs/>
          <w:sz w:val="20"/>
          <w:szCs w:val="20"/>
          <w:u w:val="single"/>
        </w:rPr>
        <w:lastRenderedPageBreak/>
        <w:t>Longevity/Annual Increments</w:t>
      </w:r>
    </w:p>
    <w:p w14:paraId="6E315708" w14:textId="7875360D" w:rsidR="0038272A" w:rsidRPr="0038272A" w:rsidRDefault="0038272A" w:rsidP="00E565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Effective January 201</w:t>
      </w:r>
      <w:r w:rsidR="00013CE3">
        <w:rPr>
          <w:rFonts w:ascii="Verdana" w:hAnsi="Verdana" w:cs="Verdana"/>
          <w:bCs/>
          <w:sz w:val="20"/>
          <w:szCs w:val="20"/>
        </w:rPr>
        <w:t>9</w:t>
      </w:r>
      <w:r>
        <w:rPr>
          <w:rFonts w:ascii="Verdana" w:hAnsi="Verdana" w:cs="Verdana"/>
          <w:bCs/>
          <w:sz w:val="20"/>
          <w:szCs w:val="20"/>
        </w:rPr>
        <w:t>, longevity/annual increments and cash payments will process for eligible employees according to the following schedule:</w:t>
      </w:r>
    </w:p>
    <w:p w14:paraId="75E4C244" w14:textId="77777777" w:rsidR="00684947" w:rsidRDefault="00684947" w:rsidP="00684947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22"/>
        <w:gridCol w:w="1458"/>
        <w:gridCol w:w="1440"/>
        <w:gridCol w:w="1422"/>
      </w:tblGrid>
      <w:tr w:rsidR="00684947" w:rsidRPr="00137538" w14:paraId="53694AB9" w14:textId="77777777" w:rsidTr="00B624B8">
        <w:trPr>
          <w:trHeight w:val="332"/>
        </w:trPr>
        <w:tc>
          <w:tcPr>
            <w:tcW w:w="3510" w:type="dxa"/>
            <w:shd w:val="clear" w:color="auto" w:fill="auto"/>
          </w:tcPr>
          <w:p w14:paraId="63FDAE5A" w14:textId="77777777" w:rsidR="00684947" w:rsidRPr="00137538" w:rsidRDefault="00684947" w:rsidP="00505CED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Contract Name &amp; Bargaining Units</w:t>
            </w:r>
          </w:p>
        </w:tc>
        <w:tc>
          <w:tcPr>
            <w:tcW w:w="1422" w:type="dxa"/>
            <w:shd w:val="clear" w:color="auto" w:fill="auto"/>
          </w:tcPr>
          <w:p w14:paraId="16169215" w14:textId="77777777"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Pay Scale</w:t>
            </w:r>
          </w:p>
        </w:tc>
        <w:tc>
          <w:tcPr>
            <w:tcW w:w="1458" w:type="dxa"/>
          </w:tcPr>
          <w:p w14:paraId="7AEEEBDE" w14:textId="77777777"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Processing Date(s)</w:t>
            </w:r>
          </w:p>
        </w:tc>
        <w:tc>
          <w:tcPr>
            <w:tcW w:w="1440" w:type="dxa"/>
          </w:tcPr>
          <w:p w14:paraId="3ADBA55A" w14:textId="77777777"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Effective Date(s)</w:t>
            </w:r>
          </w:p>
        </w:tc>
        <w:tc>
          <w:tcPr>
            <w:tcW w:w="1422" w:type="dxa"/>
          </w:tcPr>
          <w:p w14:paraId="1763315C" w14:textId="77777777" w:rsidR="00684947" w:rsidRPr="00137538" w:rsidRDefault="00684947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Pay Date(s)</w:t>
            </w:r>
          </w:p>
        </w:tc>
      </w:tr>
      <w:tr w:rsidR="00BC5CD9" w:rsidRPr="00137538" w14:paraId="083A43B2" w14:textId="77777777" w:rsidTr="00B624B8">
        <w:trPr>
          <w:trHeight w:val="332"/>
        </w:trPr>
        <w:tc>
          <w:tcPr>
            <w:tcW w:w="3510" w:type="dxa"/>
            <w:shd w:val="clear" w:color="auto" w:fill="auto"/>
          </w:tcPr>
          <w:p w14:paraId="09646CCF" w14:textId="77777777" w:rsidR="00BC5CD9" w:rsidRPr="00B624B8" w:rsidRDefault="00BC5CD9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AFSCME (</w:t>
            </w:r>
            <w:r>
              <w:t>A1, A4, B1, B4, G1, G4, J1, N1, A2, B2, G2, G5, J2, N2, 61, 64, 65, W1, W2, W4, W5, W7, W8, W9)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CAEED41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137538">
              <w:rPr>
                <w:rFonts w:ascii="Verdana" w:hAnsi="Verdana"/>
                <w:sz w:val="20"/>
                <w:szCs w:val="20"/>
              </w:rPr>
              <w:t>ST</w:t>
            </w:r>
          </w:p>
        </w:tc>
        <w:tc>
          <w:tcPr>
            <w:tcW w:w="1458" w:type="dxa"/>
            <w:vMerge w:val="restart"/>
            <w:vAlign w:val="center"/>
          </w:tcPr>
          <w:p w14:paraId="0DD0CF53" w14:textId="77777777" w:rsidR="00BC5CD9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All Pay Areas</w:t>
            </w:r>
          </w:p>
          <w:p w14:paraId="1EAE6E9C" w14:textId="253CBD1C" w:rsidR="00BC5CD9" w:rsidRDefault="00BC5CD9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12/27/2018</w:t>
            </w:r>
          </w:p>
          <w:p w14:paraId="24D606C7" w14:textId="63BB2AC3" w:rsidR="00BC5CD9" w:rsidRPr="00513F01" w:rsidRDefault="00BC5CD9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through 12/28/2018</w:t>
            </w:r>
          </w:p>
          <w:p w14:paraId="41CECB4C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572C29D4" w14:textId="77777777" w:rsidR="00BC5CD9" w:rsidRPr="00137538" w:rsidRDefault="00BC5CD9" w:rsidP="00013CE3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Z3/T3</w:t>
            </w:r>
          </w:p>
          <w:p w14:paraId="544D9EAE" w14:textId="40CD4BEF" w:rsidR="00BC5CD9" w:rsidRDefault="00BC5CD9" w:rsidP="00013CE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01/05/2019</w:t>
            </w:r>
          </w:p>
          <w:p w14:paraId="1EE6D7AF" w14:textId="77777777" w:rsidR="00BC5CD9" w:rsidRPr="00137538" w:rsidRDefault="00BC5CD9" w:rsidP="00013CE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559F5A2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Z1</w:t>
            </w:r>
          </w:p>
          <w:p w14:paraId="57310537" w14:textId="347D4B5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01/13/2019</w:t>
            </w:r>
          </w:p>
          <w:p w14:paraId="0EA2061F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8D17F64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Z2/T2</w:t>
            </w:r>
          </w:p>
          <w:p w14:paraId="18111F02" w14:textId="782F92FC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137538">
              <w:rPr>
                <w:rFonts w:ascii="Verdana" w:hAnsi="Verdana"/>
                <w:sz w:val="20"/>
                <w:szCs w:val="20"/>
              </w:rPr>
              <w:t>01/</w:t>
            </w:r>
            <w:r>
              <w:rPr>
                <w:rFonts w:ascii="Verdana" w:hAnsi="Verdana"/>
                <w:sz w:val="20"/>
                <w:szCs w:val="20"/>
              </w:rPr>
              <w:t>12/2019</w:t>
            </w:r>
          </w:p>
          <w:p w14:paraId="63DF56FB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098E125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4023191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0BF83282" w14:textId="77777777" w:rsidR="00BC5CD9" w:rsidRPr="00137538" w:rsidRDefault="00BC5CD9" w:rsidP="00013CE3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Z3/T3</w:t>
            </w:r>
          </w:p>
          <w:p w14:paraId="0073EFD7" w14:textId="632FF781" w:rsidR="00BC5CD9" w:rsidRDefault="00BC5CD9" w:rsidP="00013CE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02/01/201</w:t>
            </w:r>
            <w:r w:rsidR="00C2514D">
              <w:rPr>
                <w:rFonts w:ascii="Verdana" w:hAnsi="Verdana"/>
                <w:sz w:val="20"/>
                <w:szCs w:val="20"/>
              </w:rPr>
              <w:t>9</w:t>
            </w:r>
          </w:p>
          <w:p w14:paraId="6A8AD7E2" w14:textId="77777777" w:rsidR="00BC5CD9" w:rsidRDefault="00BC5CD9" w:rsidP="00013CE3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3345B85" w14:textId="7AC4CA1E" w:rsidR="00BC5CD9" w:rsidRPr="00137538" w:rsidRDefault="00BC5CD9" w:rsidP="00013CE3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Z1/Z2/T2</w:t>
            </w:r>
          </w:p>
          <w:p w14:paraId="1AA7E0F9" w14:textId="51935A56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02/08/201</w:t>
            </w:r>
            <w:r w:rsidR="00C2514D">
              <w:rPr>
                <w:rFonts w:ascii="Verdana" w:hAnsi="Verdana"/>
                <w:sz w:val="20"/>
                <w:szCs w:val="20"/>
              </w:rPr>
              <w:t>9</w:t>
            </w:r>
          </w:p>
          <w:p w14:paraId="356E7A43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190B9F1" w14:textId="1C9E9CF5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5CD9" w:rsidRPr="00137538" w14:paraId="03BC0E20" w14:textId="77777777" w:rsidTr="00B624B8">
        <w:trPr>
          <w:trHeight w:val="332"/>
        </w:trPr>
        <w:tc>
          <w:tcPr>
            <w:tcW w:w="3510" w:type="dxa"/>
            <w:shd w:val="clear" w:color="auto" w:fill="auto"/>
          </w:tcPr>
          <w:p w14:paraId="3E43C1C8" w14:textId="77777777" w:rsidR="00BC5CD9" w:rsidRPr="00B624B8" w:rsidRDefault="00BC5CD9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AFSCME (G2, G4, G5)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86DDF63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</w:t>
            </w:r>
          </w:p>
        </w:tc>
        <w:tc>
          <w:tcPr>
            <w:tcW w:w="1458" w:type="dxa"/>
            <w:vMerge/>
            <w:vAlign w:val="center"/>
          </w:tcPr>
          <w:p w14:paraId="3A1FA89D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B946C18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vAlign w:val="center"/>
          </w:tcPr>
          <w:p w14:paraId="3803C57D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CD9" w:rsidRPr="00137538" w14:paraId="465490B9" w14:textId="77777777" w:rsidTr="00B624B8">
        <w:trPr>
          <w:trHeight w:val="332"/>
        </w:trPr>
        <w:tc>
          <w:tcPr>
            <w:tcW w:w="3510" w:type="dxa"/>
            <w:shd w:val="clear" w:color="auto" w:fill="auto"/>
          </w:tcPr>
          <w:p w14:paraId="7EA0FA8B" w14:textId="52261B18" w:rsidR="00BC5CD9" w:rsidRDefault="00BC5CD9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ALES (K5)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0B8AD4C" w14:textId="47D414E7" w:rsidR="00BC5CD9" w:rsidRDefault="00BC5CD9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</w:t>
            </w:r>
          </w:p>
        </w:tc>
        <w:tc>
          <w:tcPr>
            <w:tcW w:w="1458" w:type="dxa"/>
            <w:vMerge/>
          </w:tcPr>
          <w:p w14:paraId="47DCE765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0A5DCAC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760F5C4B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CD9" w:rsidRPr="00137538" w14:paraId="776D12C2" w14:textId="77777777" w:rsidTr="00B624B8">
        <w:trPr>
          <w:trHeight w:val="332"/>
        </w:trPr>
        <w:tc>
          <w:tcPr>
            <w:tcW w:w="3510" w:type="dxa"/>
            <w:shd w:val="clear" w:color="auto" w:fill="auto"/>
          </w:tcPr>
          <w:p w14:paraId="6076A090" w14:textId="77777777" w:rsidR="00BC5CD9" w:rsidRPr="00B624B8" w:rsidRDefault="00BC5CD9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CBA (Z4)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1FAA455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</w:t>
            </w:r>
          </w:p>
        </w:tc>
        <w:tc>
          <w:tcPr>
            <w:tcW w:w="1458" w:type="dxa"/>
            <w:vMerge/>
          </w:tcPr>
          <w:p w14:paraId="477F198F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2046421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2D823662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CD9" w:rsidRPr="00137538" w14:paraId="46AC0A2C" w14:textId="77777777" w:rsidTr="00B624B8">
        <w:trPr>
          <w:trHeight w:val="332"/>
        </w:trPr>
        <w:tc>
          <w:tcPr>
            <w:tcW w:w="3510" w:type="dxa"/>
            <w:shd w:val="clear" w:color="auto" w:fill="auto"/>
          </w:tcPr>
          <w:p w14:paraId="2E758F6B" w14:textId="1A5729A8" w:rsidR="00BC5CD9" w:rsidRDefault="00BC5CD9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CIVEA (E4) *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F0BC7EC" w14:textId="77777777" w:rsidR="00BC5CD9" w:rsidRDefault="00BC5CD9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</w:t>
            </w:r>
          </w:p>
        </w:tc>
        <w:tc>
          <w:tcPr>
            <w:tcW w:w="1458" w:type="dxa"/>
            <w:vMerge/>
          </w:tcPr>
          <w:p w14:paraId="32019096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1149B0B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0E8CB297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CD9" w:rsidRPr="00137538" w14:paraId="0C3C3969" w14:textId="77777777" w:rsidTr="006F6735">
        <w:trPr>
          <w:trHeight w:val="494"/>
        </w:trPr>
        <w:tc>
          <w:tcPr>
            <w:tcW w:w="3510" w:type="dxa"/>
            <w:shd w:val="clear" w:color="auto" w:fill="auto"/>
          </w:tcPr>
          <w:p w14:paraId="510F0B9E" w14:textId="1CE5DF82" w:rsidR="00BC5CD9" w:rsidRPr="00B624B8" w:rsidRDefault="00BC5CD9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Corrections Management (A3, F3, H3, J3, N3) **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93D9573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CM</w:t>
            </w:r>
          </w:p>
        </w:tc>
        <w:tc>
          <w:tcPr>
            <w:tcW w:w="1458" w:type="dxa"/>
            <w:vMerge/>
          </w:tcPr>
          <w:p w14:paraId="5A9B2994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D96F394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730B1BF3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CD9" w:rsidRPr="00137538" w14:paraId="321EC624" w14:textId="77777777" w:rsidTr="00B624B8">
        <w:trPr>
          <w:trHeight w:val="332"/>
        </w:trPr>
        <w:tc>
          <w:tcPr>
            <w:tcW w:w="3510" w:type="dxa"/>
            <w:shd w:val="clear" w:color="auto" w:fill="auto"/>
          </w:tcPr>
          <w:p w14:paraId="14B2A3A6" w14:textId="52DF276E" w:rsidR="00BC5CD9" w:rsidRDefault="00BC5CD9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85AB2">
              <w:rPr>
                <w:rFonts w:cs="Calibri"/>
              </w:rPr>
              <w:t>FOP-Conservation Police Officers Lodge 114, Game Commission (K8)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43CD220" w14:textId="36528D59" w:rsidR="00BC5CD9" w:rsidRDefault="00BC5CD9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</w:t>
            </w:r>
          </w:p>
        </w:tc>
        <w:tc>
          <w:tcPr>
            <w:tcW w:w="1458" w:type="dxa"/>
            <w:vMerge/>
          </w:tcPr>
          <w:p w14:paraId="4C55DFA7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571F531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4FD82560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CD9" w:rsidRPr="00137538" w14:paraId="499FFB52" w14:textId="77777777" w:rsidTr="00B624B8">
        <w:trPr>
          <w:trHeight w:val="332"/>
        </w:trPr>
        <w:tc>
          <w:tcPr>
            <w:tcW w:w="3510" w:type="dxa"/>
            <w:shd w:val="clear" w:color="auto" w:fill="auto"/>
          </w:tcPr>
          <w:p w14:paraId="7D7315A2" w14:textId="77777777" w:rsidR="00BC5CD9" w:rsidRPr="00B624B8" w:rsidRDefault="00BC5CD9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FOSCEP (C4, C5)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311D34D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</w:t>
            </w:r>
          </w:p>
        </w:tc>
        <w:tc>
          <w:tcPr>
            <w:tcW w:w="1458" w:type="dxa"/>
            <w:vMerge/>
          </w:tcPr>
          <w:p w14:paraId="1DE3F6BC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D7D41E5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5955BF7D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CD9" w:rsidRPr="00137538" w14:paraId="05B90CD5" w14:textId="77777777" w:rsidTr="00B624B8">
        <w:trPr>
          <w:trHeight w:val="332"/>
        </w:trPr>
        <w:tc>
          <w:tcPr>
            <w:tcW w:w="3510" w:type="dxa"/>
            <w:shd w:val="clear" w:color="auto" w:fill="auto"/>
          </w:tcPr>
          <w:p w14:paraId="19795B9F" w14:textId="77777777" w:rsidR="00BC5CD9" w:rsidRPr="00B624B8" w:rsidRDefault="00BC5CD9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ISSU (M2)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FBCACA4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LS (LS08 – LS12)</w:t>
            </w:r>
          </w:p>
        </w:tc>
        <w:tc>
          <w:tcPr>
            <w:tcW w:w="1458" w:type="dxa"/>
            <w:vMerge/>
          </w:tcPr>
          <w:p w14:paraId="6437ED29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0923913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14A47F6C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CD9" w:rsidRPr="00137538" w14:paraId="3BCF856F" w14:textId="77777777" w:rsidTr="00B624B8">
        <w:trPr>
          <w:trHeight w:val="332"/>
        </w:trPr>
        <w:tc>
          <w:tcPr>
            <w:tcW w:w="3510" w:type="dxa"/>
            <w:shd w:val="clear" w:color="auto" w:fill="auto"/>
          </w:tcPr>
          <w:p w14:paraId="272DFC81" w14:textId="77777777" w:rsidR="00BC5CD9" w:rsidRPr="009D2A8E" w:rsidRDefault="00BC5CD9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9D2A8E">
              <w:rPr>
                <w:rFonts w:ascii="Verdana" w:hAnsi="Verdana"/>
                <w:sz w:val="18"/>
                <w:szCs w:val="18"/>
              </w:rPr>
              <w:t>Liquor Store Management (M8)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A3CB263" w14:textId="77777777" w:rsidR="00BC5CD9" w:rsidRPr="009D2A8E" w:rsidRDefault="00BC5CD9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D2A8E">
              <w:rPr>
                <w:rFonts w:ascii="Verdana" w:hAnsi="Verdana"/>
                <w:sz w:val="20"/>
                <w:szCs w:val="20"/>
              </w:rPr>
              <w:t>LS (LS16-LS20)</w:t>
            </w:r>
          </w:p>
        </w:tc>
        <w:tc>
          <w:tcPr>
            <w:tcW w:w="1458" w:type="dxa"/>
            <w:vMerge/>
          </w:tcPr>
          <w:p w14:paraId="75944B6A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51E1E56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7F7EBAC1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CD9" w:rsidRPr="00137538" w14:paraId="034D02B9" w14:textId="77777777" w:rsidTr="00B624B8">
        <w:trPr>
          <w:trHeight w:val="332"/>
        </w:trPr>
        <w:tc>
          <w:tcPr>
            <w:tcW w:w="3510" w:type="dxa"/>
            <w:shd w:val="clear" w:color="auto" w:fill="auto"/>
          </w:tcPr>
          <w:p w14:paraId="233ECEF7" w14:textId="77777777" w:rsidR="00BC5CD9" w:rsidRPr="009D2A8E" w:rsidRDefault="00BC5CD9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9D2A8E">
              <w:rPr>
                <w:rFonts w:ascii="Verdana" w:hAnsi="Verdana"/>
                <w:sz w:val="18"/>
                <w:szCs w:val="18"/>
              </w:rPr>
              <w:t xml:space="preserve">Management &amp; Non-represented </w:t>
            </w:r>
            <w:r w:rsidRPr="009D2A8E">
              <w:rPr>
                <w:rFonts w:asciiTheme="minorHAnsi" w:hAnsiTheme="minorHAnsi" w:cstheme="minorHAnsi"/>
              </w:rPr>
              <w:t>(98, 99, A3, A5, B3, B5, C3, F3, G3, J3, K3, M3, N3, P3, R3, S3, S5)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B9692D4" w14:textId="77777777" w:rsidR="00BC5CD9" w:rsidRPr="009D2A8E" w:rsidRDefault="00BC5CD9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D2A8E">
              <w:rPr>
                <w:rFonts w:ascii="Verdana" w:hAnsi="Verdana"/>
                <w:sz w:val="20"/>
                <w:szCs w:val="20"/>
              </w:rPr>
              <w:t>ST</w:t>
            </w:r>
          </w:p>
        </w:tc>
        <w:tc>
          <w:tcPr>
            <w:tcW w:w="1458" w:type="dxa"/>
            <w:vMerge/>
          </w:tcPr>
          <w:p w14:paraId="1A8B923B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7759249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7479E4D7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CD9" w:rsidRPr="00137538" w14:paraId="23EEC959" w14:textId="77777777" w:rsidTr="00B624B8">
        <w:trPr>
          <w:trHeight w:val="332"/>
        </w:trPr>
        <w:tc>
          <w:tcPr>
            <w:tcW w:w="3510" w:type="dxa"/>
            <w:shd w:val="clear" w:color="auto" w:fill="auto"/>
          </w:tcPr>
          <w:p w14:paraId="3C6E1500" w14:textId="77777777" w:rsidR="00BC5CD9" w:rsidRPr="00B624B8" w:rsidRDefault="00BC5CD9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NARC (G9)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62877C4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</w:t>
            </w:r>
          </w:p>
        </w:tc>
        <w:tc>
          <w:tcPr>
            <w:tcW w:w="1458" w:type="dxa"/>
            <w:vMerge/>
          </w:tcPr>
          <w:p w14:paraId="39879815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1E23D77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7F5CBDEA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CD9" w:rsidRPr="00137538" w14:paraId="5242F9A0" w14:textId="77777777" w:rsidTr="00B624B8">
        <w:trPr>
          <w:trHeight w:val="332"/>
        </w:trPr>
        <w:tc>
          <w:tcPr>
            <w:tcW w:w="3510" w:type="dxa"/>
            <w:shd w:val="clear" w:color="auto" w:fill="auto"/>
          </w:tcPr>
          <w:p w14:paraId="1AAF213E" w14:textId="77777777" w:rsidR="00BC5CD9" w:rsidRPr="009D2A8E" w:rsidRDefault="00BC5CD9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9D2A8E">
              <w:rPr>
                <w:rFonts w:ascii="Verdana" w:hAnsi="Verdana"/>
                <w:sz w:val="18"/>
                <w:szCs w:val="18"/>
              </w:rPr>
              <w:t>OGC Attorneys (A3)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B9B0D0E" w14:textId="77777777" w:rsidR="00BC5CD9" w:rsidRPr="009D2A8E" w:rsidRDefault="00BC5CD9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D2A8E">
              <w:rPr>
                <w:rFonts w:ascii="Verdana" w:hAnsi="Verdana"/>
                <w:sz w:val="20"/>
                <w:szCs w:val="20"/>
              </w:rPr>
              <w:t>AT</w:t>
            </w:r>
          </w:p>
        </w:tc>
        <w:tc>
          <w:tcPr>
            <w:tcW w:w="1458" w:type="dxa"/>
            <w:vMerge/>
          </w:tcPr>
          <w:p w14:paraId="1650C182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31C4F86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6023A377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CD9" w:rsidRPr="00137538" w14:paraId="7164A8CB" w14:textId="77777777" w:rsidTr="00B624B8">
        <w:trPr>
          <w:trHeight w:val="332"/>
        </w:trPr>
        <w:tc>
          <w:tcPr>
            <w:tcW w:w="3510" w:type="dxa"/>
            <w:shd w:val="clear" w:color="auto" w:fill="auto"/>
          </w:tcPr>
          <w:p w14:paraId="6E6F5074" w14:textId="77777777" w:rsidR="00BC5CD9" w:rsidRPr="00B624B8" w:rsidRDefault="00BC5CD9" w:rsidP="00505CE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OPEIU (P5)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F6E7078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</w:t>
            </w:r>
          </w:p>
        </w:tc>
        <w:tc>
          <w:tcPr>
            <w:tcW w:w="1458" w:type="dxa"/>
            <w:vMerge/>
          </w:tcPr>
          <w:p w14:paraId="0ADD8F07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0C4B471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454B3608" w14:textId="77777777" w:rsidR="00BC5CD9" w:rsidRPr="00137538" w:rsidRDefault="00BC5CD9" w:rsidP="00505CED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CD9" w:rsidRPr="00137538" w14:paraId="4E2D0E45" w14:textId="77777777" w:rsidTr="00B624B8">
        <w:trPr>
          <w:trHeight w:val="332"/>
        </w:trPr>
        <w:tc>
          <w:tcPr>
            <w:tcW w:w="3510" w:type="dxa"/>
            <w:shd w:val="clear" w:color="auto" w:fill="auto"/>
          </w:tcPr>
          <w:p w14:paraId="7101EEF3" w14:textId="36C2E2EB" w:rsidR="00BC5CD9" w:rsidRPr="009D2A8E" w:rsidRDefault="00BC5CD9" w:rsidP="00276E2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PDA (T4, T5)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238CCFF" w14:textId="6D88122E" w:rsidR="00BC5CD9" w:rsidRPr="009D2A8E" w:rsidRDefault="00BC5CD9" w:rsidP="00276E26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</w:t>
            </w:r>
          </w:p>
        </w:tc>
        <w:tc>
          <w:tcPr>
            <w:tcW w:w="1458" w:type="dxa"/>
            <w:vMerge/>
          </w:tcPr>
          <w:p w14:paraId="081D420F" w14:textId="77777777" w:rsidR="00BC5CD9" w:rsidRPr="00137538" w:rsidRDefault="00BC5CD9" w:rsidP="00276E2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57BF0D2" w14:textId="77777777" w:rsidR="00BC5CD9" w:rsidRPr="00137538" w:rsidRDefault="00BC5CD9" w:rsidP="00276E2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5ED28B0B" w14:textId="77777777" w:rsidR="00BC5CD9" w:rsidRPr="00137538" w:rsidRDefault="00BC5CD9" w:rsidP="00276E2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CD9" w:rsidRPr="00137538" w14:paraId="0FCE3033" w14:textId="77777777" w:rsidTr="00B624B8">
        <w:trPr>
          <w:trHeight w:val="332"/>
        </w:trPr>
        <w:tc>
          <w:tcPr>
            <w:tcW w:w="3510" w:type="dxa"/>
            <w:shd w:val="clear" w:color="auto" w:fill="auto"/>
          </w:tcPr>
          <w:p w14:paraId="087B7427" w14:textId="33BACA27" w:rsidR="00BC5CD9" w:rsidRPr="009D2A8E" w:rsidRDefault="00BC5CD9" w:rsidP="00276E2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9D2A8E">
              <w:rPr>
                <w:rFonts w:ascii="Verdana" w:hAnsi="Verdana"/>
                <w:sz w:val="18"/>
                <w:szCs w:val="18"/>
              </w:rPr>
              <w:t>Physician Management (T3)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323BA83" w14:textId="219C0FBA" w:rsidR="00BC5CD9" w:rsidRPr="009D2A8E" w:rsidRDefault="00BC5CD9" w:rsidP="00276E26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D2A8E">
              <w:rPr>
                <w:rFonts w:ascii="Verdana" w:hAnsi="Verdana"/>
                <w:sz w:val="20"/>
                <w:szCs w:val="20"/>
              </w:rPr>
              <w:t>DR</w:t>
            </w:r>
          </w:p>
        </w:tc>
        <w:tc>
          <w:tcPr>
            <w:tcW w:w="1458" w:type="dxa"/>
            <w:vMerge/>
          </w:tcPr>
          <w:p w14:paraId="0CB6EBDD" w14:textId="77777777" w:rsidR="00BC5CD9" w:rsidRPr="00137538" w:rsidRDefault="00BC5CD9" w:rsidP="00276E2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0834092" w14:textId="77777777" w:rsidR="00BC5CD9" w:rsidRPr="00137538" w:rsidRDefault="00BC5CD9" w:rsidP="00276E2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26511638" w14:textId="77777777" w:rsidR="00BC5CD9" w:rsidRPr="00137538" w:rsidRDefault="00BC5CD9" w:rsidP="00276E2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CD9" w:rsidRPr="00137538" w14:paraId="27504438" w14:textId="77777777" w:rsidTr="00B624B8">
        <w:trPr>
          <w:trHeight w:val="341"/>
        </w:trPr>
        <w:tc>
          <w:tcPr>
            <w:tcW w:w="3510" w:type="dxa"/>
            <w:shd w:val="clear" w:color="auto" w:fill="auto"/>
          </w:tcPr>
          <w:p w14:paraId="0ECB9027" w14:textId="77777777" w:rsidR="00BC5CD9" w:rsidRPr="00B624B8" w:rsidRDefault="00BC5CD9" w:rsidP="00276E2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PLEA (K4)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265D7C0" w14:textId="77777777" w:rsidR="00BC5CD9" w:rsidRPr="00137538" w:rsidRDefault="00BC5CD9" w:rsidP="00276E26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</w:t>
            </w:r>
          </w:p>
        </w:tc>
        <w:tc>
          <w:tcPr>
            <w:tcW w:w="1458" w:type="dxa"/>
            <w:vMerge/>
          </w:tcPr>
          <w:p w14:paraId="0812A158" w14:textId="77777777" w:rsidR="00BC5CD9" w:rsidRPr="00137538" w:rsidRDefault="00BC5CD9" w:rsidP="00276E2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DC4501C" w14:textId="77777777" w:rsidR="00BC5CD9" w:rsidRPr="00137538" w:rsidRDefault="00BC5CD9" w:rsidP="00276E2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7F422347" w14:textId="77777777" w:rsidR="00BC5CD9" w:rsidRPr="00137538" w:rsidRDefault="00BC5CD9" w:rsidP="00276E2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CD9" w:rsidRPr="00137538" w14:paraId="551E98FD" w14:textId="77777777" w:rsidTr="00B624B8">
        <w:trPr>
          <w:trHeight w:val="70"/>
        </w:trPr>
        <w:tc>
          <w:tcPr>
            <w:tcW w:w="3510" w:type="dxa"/>
            <w:shd w:val="clear" w:color="auto" w:fill="auto"/>
          </w:tcPr>
          <w:p w14:paraId="4D55E1B3" w14:textId="77777777" w:rsidR="00BC5CD9" w:rsidRDefault="00BC5CD9" w:rsidP="00276E2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PSEA (S4)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2C06332" w14:textId="77777777" w:rsidR="00BC5CD9" w:rsidRDefault="00BC5CD9" w:rsidP="00276E26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</w:t>
            </w:r>
          </w:p>
        </w:tc>
        <w:tc>
          <w:tcPr>
            <w:tcW w:w="1458" w:type="dxa"/>
            <w:vMerge/>
          </w:tcPr>
          <w:p w14:paraId="59AA66D4" w14:textId="77777777" w:rsidR="00BC5CD9" w:rsidRPr="00137538" w:rsidRDefault="00BC5CD9" w:rsidP="00276E2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937C1FB" w14:textId="77777777" w:rsidR="00BC5CD9" w:rsidRPr="00137538" w:rsidRDefault="00BC5CD9" w:rsidP="00276E2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6B19BAC2" w14:textId="77777777" w:rsidR="00BC5CD9" w:rsidRPr="00137538" w:rsidRDefault="00BC5CD9" w:rsidP="00276E2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CD9" w:rsidRPr="00137538" w14:paraId="69193EB5" w14:textId="77777777" w:rsidTr="00CC4292">
        <w:trPr>
          <w:trHeight w:val="512"/>
        </w:trPr>
        <w:tc>
          <w:tcPr>
            <w:tcW w:w="3510" w:type="dxa"/>
            <w:shd w:val="clear" w:color="auto" w:fill="auto"/>
          </w:tcPr>
          <w:p w14:paraId="3CCCC1D5" w14:textId="77777777" w:rsidR="00BC5CD9" w:rsidRPr="00440868" w:rsidRDefault="00BC5CD9" w:rsidP="00276E2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40868">
              <w:rPr>
                <w:rFonts w:ascii="Verdana" w:hAnsi="Verdana"/>
                <w:sz w:val="18"/>
                <w:szCs w:val="18"/>
              </w:rPr>
              <w:t>PUC Management (99, A3, A5, B3, B5, G3, Z3)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634CA52" w14:textId="77777777" w:rsidR="00BC5CD9" w:rsidRPr="00440868" w:rsidRDefault="00BC5CD9" w:rsidP="00276E26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440868">
              <w:rPr>
                <w:rFonts w:ascii="Verdana" w:hAnsi="Verdana"/>
                <w:sz w:val="20"/>
                <w:szCs w:val="20"/>
              </w:rPr>
              <w:t>UT</w:t>
            </w:r>
          </w:p>
        </w:tc>
        <w:tc>
          <w:tcPr>
            <w:tcW w:w="1458" w:type="dxa"/>
            <w:vMerge/>
          </w:tcPr>
          <w:p w14:paraId="02425946" w14:textId="77777777" w:rsidR="00BC5CD9" w:rsidRPr="00137538" w:rsidRDefault="00BC5CD9" w:rsidP="00276E2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6678FB9" w14:textId="77777777" w:rsidR="00BC5CD9" w:rsidRPr="00137538" w:rsidRDefault="00BC5CD9" w:rsidP="00276E2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0E017604" w14:textId="77777777" w:rsidR="00BC5CD9" w:rsidRPr="00137538" w:rsidRDefault="00BC5CD9" w:rsidP="00276E2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CD9" w:rsidRPr="00137538" w14:paraId="4538A223" w14:textId="77777777" w:rsidTr="00B624B8">
        <w:trPr>
          <w:trHeight w:val="332"/>
        </w:trPr>
        <w:tc>
          <w:tcPr>
            <w:tcW w:w="3510" w:type="dxa"/>
            <w:shd w:val="clear" w:color="auto" w:fill="auto"/>
          </w:tcPr>
          <w:p w14:paraId="08879BFF" w14:textId="77777777" w:rsidR="00BC5CD9" w:rsidRPr="00B624B8" w:rsidRDefault="00BC5CD9" w:rsidP="00276E2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SEIU-Healthcare PA (P4)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5782AE0" w14:textId="77777777" w:rsidR="00BC5CD9" w:rsidRPr="00137538" w:rsidRDefault="00BC5CD9" w:rsidP="00276E26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</w:t>
            </w:r>
          </w:p>
        </w:tc>
        <w:tc>
          <w:tcPr>
            <w:tcW w:w="1458" w:type="dxa"/>
            <w:vMerge/>
          </w:tcPr>
          <w:p w14:paraId="7E11B7C7" w14:textId="77777777" w:rsidR="00BC5CD9" w:rsidRPr="00137538" w:rsidRDefault="00BC5CD9" w:rsidP="00276E2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8C4366C" w14:textId="77777777" w:rsidR="00BC5CD9" w:rsidRPr="00137538" w:rsidRDefault="00BC5CD9" w:rsidP="00276E2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6A687AB7" w14:textId="77777777" w:rsidR="00BC5CD9" w:rsidRPr="00137538" w:rsidRDefault="00BC5CD9" w:rsidP="00276E2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CD9" w:rsidRPr="00137538" w14:paraId="605A9C3A" w14:textId="77777777" w:rsidTr="00B624B8">
        <w:trPr>
          <w:trHeight w:val="332"/>
        </w:trPr>
        <w:tc>
          <w:tcPr>
            <w:tcW w:w="3510" w:type="dxa"/>
            <w:shd w:val="clear" w:color="auto" w:fill="auto"/>
          </w:tcPr>
          <w:p w14:paraId="28B0E285" w14:textId="77777777" w:rsidR="00BC5CD9" w:rsidRPr="00B624B8" w:rsidRDefault="00BC5CD9" w:rsidP="00276E2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SEIU-Local 668 (F1, F4, F5)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4EEDEEF" w14:textId="77777777" w:rsidR="00BC5CD9" w:rsidRPr="00137538" w:rsidRDefault="00BC5CD9" w:rsidP="00276E26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</w:t>
            </w:r>
          </w:p>
        </w:tc>
        <w:tc>
          <w:tcPr>
            <w:tcW w:w="1458" w:type="dxa"/>
            <w:vMerge/>
          </w:tcPr>
          <w:p w14:paraId="7AEB4FC3" w14:textId="77777777" w:rsidR="00BC5CD9" w:rsidRPr="00137538" w:rsidRDefault="00BC5CD9" w:rsidP="00276E2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05FDCFC" w14:textId="77777777" w:rsidR="00BC5CD9" w:rsidRPr="00137538" w:rsidRDefault="00BC5CD9" w:rsidP="00276E2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68AD6DCF" w14:textId="77777777" w:rsidR="00BC5CD9" w:rsidRPr="00137538" w:rsidRDefault="00BC5CD9" w:rsidP="00276E26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CD9" w:rsidRPr="00137538" w14:paraId="4EEC9226" w14:textId="77777777" w:rsidTr="00B624B8">
        <w:trPr>
          <w:trHeight w:val="332"/>
        </w:trPr>
        <w:tc>
          <w:tcPr>
            <w:tcW w:w="3510" w:type="dxa"/>
            <w:shd w:val="clear" w:color="auto" w:fill="auto"/>
          </w:tcPr>
          <w:p w14:paraId="61F67080" w14:textId="7953D50F" w:rsidR="00BC5CD9" w:rsidRDefault="00BC5CD9" w:rsidP="00BC5CD9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12396">
              <w:rPr>
                <w:rFonts w:asciiTheme="minorHAnsi" w:hAnsiTheme="minorHAnsi" w:cstheme="minorHAnsi"/>
              </w:rPr>
              <w:t>SEIU-Local 668 UC Referees Unit (I5)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646BF88" w14:textId="202190FE" w:rsidR="00BC5CD9" w:rsidRDefault="00BC5CD9" w:rsidP="00BC5CD9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</w:t>
            </w:r>
          </w:p>
        </w:tc>
        <w:tc>
          <w:tcPr>
            <w:tcW w:w="1458" w:type="dxa"/>
            <w:vMerge/>
          </w:tcPr>
          <w:p w14:paraId="232EA6DD" w14:textId="77777777" w:rsidR="00BC5CD9" w:rsidRPr="00137538" w:rsidRDefault="00BC5CD9" w:rsidP="00BC5CD9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FC439AF" w14:textId="77777777" w:rsidR="00BC5CD9" w:rsidRPr="00137538" w:rsidRDefault="00BC5CD9" w:rsidP="00BC5CD9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35E5E0C4" w14:textId="77777777" w:rsidR="00BC5CD9" w:rsidRPr="00137538" w:rsidRDefault="00BC5CD9" w:rsidP="00BC5CD9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5CD9" w:rsidRPr="00137538" w14:paraId="2DB6D1F3" w14:textId="77777777" w:rsidTr="00B624B8">
        <w:trPr>
          <w:trHeight w:val="332"/>
        </w:trPr>
        <w:tc>
          <w:tcPr>
            <w:tcW w:w="3510" w:type="dxa"/>
            <w:shd w:val="clear" w:color="auto" w:fill="auto"/>
          </w:tcPr>
          <w:p w14:paraId="3FADC757" w14:textId="7E0789CF" w:rsidR="00BC5CD9" w:rsidRDefault="00BC5CD9" w:rsidP="00BC5CD9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UGSOA (R1, R2)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8C52E13" w14:textId="3EB699DB" w:rsidR="00BC5CD9" w:rsidRDefault="00BC5CD9" w:rsidP="00BC5CD9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</w:t>
            </w:r>
          </w:p>
        </w:tc>
        <w:tc>
          <w:tcPr>
            <w:tcW w:w="1458" w:type="dxa"/>
            <w:vMerge/>
          </w:tcPr>
          <w:p w14:paraId="0F854933" w14:textId="77777777" w:rsidR="00BC5CD9" w:rsidRPr="00137538" w:rsidRDefault="00BC5CD9" w:rsidP="00BC5CD9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755E925" w14:textId="77777777" w:rsidR="00BC5CD9" w:rsidRPr="00137538" w:rsidRDefault="00BC5CD9" w:rsidP="00BC5CD9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05DDEC17" w14:textId="77777777" w:rsidR="00BC5CD9" w:rsidRPr="00137538" w:rsidRDefault="00BC5CD9" w:rsidP="00BC5CD9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77DCAEB" w14:textId="2A47D8FE" w:rsidR="007B0EAD" w:rsidRPr="007B0EAD" w:rsidRDefault="007B0EAD" w:rsidP="007B0EAD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*</w:t>
      </w:r>
      <w:r w:rsidRPr="007B0EAD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 xml:space="preserve">CIVEA </w:t>
      </w:r>
      <w:r w:rsidRPr="007B0EAD">
        <w:rPr>
          <w:rFonts w:ascii="Verdana" w:hAnsi="Verdana" w:cs="Verdana"/>
          <w:bCs/>
          <w:sz w:val="20"/>
          <w:szCs w:val="20"/>
        </w:rPr>
        <w:t>employees</w:t>
      </w:r>
      <w:r>
        <w:rPr>
          <w:rFonts w:ascii="Verdana" w:hAnsi="Verdana" w:cs="Verdana"/>
          <w:bCs/>
          <w:sz w:val="20"/>
          <w:szCs w:val="20"/>
        </w:rPr>
        <w:t xml:space="preserve"> in bargaining unit E4 who are</w:t>
      </w:r>
      <w:r w:rsidRPr="007B0EAD">
        <w:rPr>
          <w:rFonts w:ascii="Verdana" w:hAnsi="Verdana" w:cs="Verdana"/>
          <w:bCs/>
          <w:sz w:val="20"/>
          <w:szCs w:val="20"/>
        </w:rPr>
        <w:t xml:space="preserve"> at the max of their educational group (L* or T) </w:t>
      </w:r>
      <w:r>
        <w:rPr>
          <w:rFonts w:ascii="Verdana" w:hAnsi="Verdana" w:cs="Verdana"/>
          <w:bCs/>
          <w:sz w:val="20"/>
          <w:szCs w:val="20"/>
        </w:rPr>
        <w:t xml:space="preserve">are only eligible for </w:t>
      </w:r>
      <w:r w:rsidR="00C2514D">
        <w:rPr>
          <w:rFonts w:ascii="Verdana" w:hAnsi="Verdana" w:cs="Verdana"/>
          <w:bCs/>
          <w:sz w:val="20"/>
          <w:szCs w:val="20"/>
        </w:rPr>
        <w:t>the</w:t>
      </w:r>
      <w:r>
        <w:rPr>
          <w:rFonts w:ascii="Verdana" w:hAnsi="Verdana" w:cs="Verdana"/>
          <w:bCs/>
          <w:sz w:val="20"/>
          <w:szCs w:val="20"/>
        </w:rPr>
        <w:t xml:space="preserve"> General Pay Increase</w:t>
      </w:r>
      <w:r w:rsidR="00C2514D">
        <w:rPr>
          <w:rFonts w:ascii="Verdana" w:hAnsi="Verdana" w:cs="Verdana"/>
          <w:bCs/>
          <w:sz w:val="20"/>
          <w:szCs w:val="20"/>
        </w:rPr>
        <w:t xml:space="preserve"> and will not receive a cash payment in lieu of the service increment.</w:t>
      </w:r>
    </w:p>
    <w:p w14:paraId="537835FA" w14:textId="77777777" w:rsidR="007B0EAD" w:rsidRDefault="007B0EAD" w:rsidP="00547A6D">
      <w:pPr>
        <w:rPr>
          <w:rFonts w:ascii="Verdana" w:hAnsi="Verdana" w:cs="Verdana"/>
          <w:bCs/>
          <w:sz w:val="20"/>
          <w:szCs w:val="20"/>
        </w:rPr>
      </w:pPr>
    </w:p>
    <w:p w14:paraId="17CBF7EB" w14:textId="7A73CC82" w:rsidR="00547A6D" w:rsidRPr="00547A6D" w:rsidRDefault="00547A6D" w:rsidP="00547A6D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lastRenderedPageBreak/>
        <w:t>*</w:t>
      </w:r>
      <w:r w:rsidR="007B0EAD">
        <w:rPr>
          <w:rFonts w:ascii="Verdana" w:hAnsi="Verdana" w:cs="Verdana"/>
          <w:bCs/>
          <w:sz w:val="20"/>
          <w:szCs w:val="20"/>
        </w:rPr>
        <w:t>*</w:t>
      </w:r>
      <w:r w:rsidR="00D33D54">
        <w:rPr>
          <w:rFonts w:ascii="Verdana" w:hAnsi="Verdana" w:cs="Verdana"/>
          <w:bCs/>
          <w:sz w:val="20"/>
          <w:szCs w:val="20"/>
        </w:rPr>
        <w:t>Corrections Management e</w:t>
      </w:r>
      <w:r>
        <w:rPr>
          <w:rFonts w:ascii="Verdana" w:hAnsi="Verdana" w:cs="Verdana"/>
          <w:bCs/>
          <w:sz w:val="20"/>
          <w:szCs w:val="20"/>
        </w:rPr>
        <w:t xml:space="preserve">mployees in </w:t>
      </w:r>
      <w:r w:rsidR="00B27E60">
        <w:rPr>
          <w:rFonts w:ascii="Verdana" w:hAnsi="Verdana" w:cs="Verdana"/>
          <w:bCs/>
          <w:sz w:val="20"/>
          <w:szCs w:val="20"/>
        </w:rPr>
        <w:t>Pay Groups CM02 though CM08 must</w:t>
      </w:r>
      <w:r>
        <w:rPr>
          <w:rFonts w:ascii="Verdana" w:hAnsi="Verdana" w:cs="Verdana"/>
          <w:bCs/>
          <w:sz w:val="20"/>
          <w:szCs w:val="20"/>
        </w:rPr>
        <w:t xml:space="preserve"> achieve the years of service associated with the next higher pay level by June 30, 201</w:t>
      </w:r>
      <w:r w:rsidR="00126F48">
        <w:rPr>
          <w:rFonts w:ascii="Verdana" w:hAnsi="Verdana" w:cs="Verdana"/>
          <w:bCs/>
          <w:sz w:val="20"/>
          <w:szCs w:val="20"/>
        </w:rPr>
        <w:t>9</w:t>
      </w:r>
      <w:r>
        <w:rPr>
          <w:rFonts w:ascii="Verdana" w:hAnsi="Verdana" w:cs="Verdana"/>
          <w:bCs/>
          <w:sz w:val="20"/>
          <w:szCs w:val="20"/>
        </w:rPr>
        <w:t xml:space="preserve"> to be eligible for </w:t>
      </w:r>
      <w:r w:rsidR="00C936AA">
        <w:rPr>
          <w:rFonts w:ascii="Verdana" w:hAnsi="Verdana" w:cs="Verdana"/>
          <w:bCs/>
          <w:sz w:val="20"/>
          <w:szCs w:val="20"/>
        </w:rPr>
        <w:t>the longevity increment.</w:t>
      </w:r>
      <w:r w:rsidR="00100840">
        <w:rPr>
          <w:rFonts w:ascii="Verdana" w:hAnsi="Verdana" w:cs="Verdana"/>
          <w:bCs/>
          <w:sz w:val="20"/>
          <w:szCs w:val="20"/>
        </w:rPr>
        <w:t xml:space="preserve"> </w:t>
      </w:r>
      <w:r w:rsidR="003F3A1E">
        <w:rPr>
          <w:rFonts w:ascii="Verdana" w:hAnsi="Verdana" w:cs="Verdana"/>
          <w:bCs/>
          <w:sz w:val="20"/>
          <w:szCs w:val="20"/>
        </w:rPr>
        <w:t>Additionally, employees</w:t>
      </w:r>
      <w:r w:rsidR="00240415">
        <w:rPr>
          <w:rFonts w:ascii="Verdana" w:hAnsi="Verdana" w:cs="Verdana"/>
          <w:bCs/>
          <w:sz w:val="20"/>
          <w:szCs w:val="20"/>
        </w:rPr>
        <w:t xml:space="preserve"> who are at</w:t>
      </w:r>
      <w:r w:rsidR="00704EFD">
        <w:rPr>
          <w:rFonts w:ascii="Verdana" w:hAnsi="Verdana" w:cs="Verdana"/>
          <w:bCs/>
          <w:sz w:val="20"/>
          <w:szCs w:val="20"/>
        </w:rPr>
        <w:t xml:space="preserve"> or above</w:t>
      </w:r>
      <w:r w:rsidR="00240415">
        <w:rPr>
          <w:rFonts w:ascii="Verdana" w:hAnsi="Verdana" w:cs="Verdana"/>
          <w:bCs/>
          <w:sz w:val="20"/>
          <w:szCs w:val="20"/>
        </w:rPr>
        <w:t xml:space="preserve"> the max </w:t>
      </w:r>
      <w:r w:rsidR="00704EFD">
        <w:rPr>
          <w:rFonts w:ascii="Verdana" w:hAnsi="Verdana" w:cs="Verdana"/>
          <w:bCs/>
          <w:sz w:val="20"/>
          <w:szCs w:val="20"/>
        </w:rPr>
        <w:t>in</w:t>
      </w:r>
      <w:r w:rsidR="003F3A1E">
        <w:rPr>
          <w:rFonts w:ascii="Verdana" w:hAnsi="Verdana" w:cs="Verdana"/>
          <w:bCs/>
          <w:sz w:val="20"/>
          <w:szCs w:val="20"/>
        </w:rPr>
        <w:t xml:space="preserve"> Pay Groups CM02 through CM08 are not eligible for cash payments in lieu of the one-step longevity increment.</w:t>
      </w:r>
    </w:p>
    <w:p w14:paraId="6CB9378B" w14:textId="77777777" w:rsidR="004F2264" w:rsidRDefault="004F2264" w:rsidP="00E56507">
      <w:pPr>
        <w:rPr>
          <w:rFonts w:ascii="Verdana" w:hAnsi="Verdana" w:cs="Verdana"/>
          <w:b/>
          <w:bCs/>
          <w:sz w:val="20"/>
          <w:szCs w:val="20"/>
        </w:rPr>
      </w:pPr>
    </w:p>
    <w:p w14:paraId="1894C61C" w14:textId="77777777" w:rsidR="004F2264" w:rsidRPr="001A3CC7" w:rsidRDefault="004F2264" w:rsidP="004F2264">
      <w:pPr>
        <w:rPr>
          <w:rFonts w:ascii="Verdana" w:hAnsi="Verdana" w:cs="Verdana"/>
          <w:b/>
          <w:sz w:val="20"/>
          <w:szCs w:val="20"/>
          <w:u w:val="single"/>
        </w:rPr>
      </w:pPr>
      <w:r w:rsidRPr="001A3CC7">
        <w:rPr>
          <w:rFonts w:ascii="Verdana" w:hAnsi="Verdana" w:cs="Verdana"/>
          <w:b/>
          <w:sz w:val="20"/>
          <w:szCs w:val="20"/>
          <w:u w:val="single"/>
        </w:rPr>
        <w:t xml:space="preserve">Statutory </w:t>
      </w:r>
      <w:r>
        <w:rPr>
          <w:rFonts w:ascii="Verdana" w:hAnsi="Verdana" w:cs="Verdana"/>
          <w:b/>
          <w:sz w:val="20"/>
          <w:szCs w:val="20"/>
          <w:u w:val="single"/>
        </w:rPr>
        <w:t>Salaries</w:t>
      </w:r>
    </w:p>
    <w:p w14:paraId="1E80E855" w14:textId="5F25E009" w:rsidR="004F2264" w:rsidRDefault="004F2264" w:rsidP="004F226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Statutory employees will receive a cost-of-living adjustment (</w:t>
      </w:r>
      <w:r w:rsidR="00F74AC7">
        <w:rPr>
          <w:rFonts w:ascii="Verdana" w:hAnsi="Verdana" w:cs="Verdana"/>
          <w:sz w:val="20"/>
          <w:szCs w:val="20"/>
        </w:rPr>
        <w:t>COLA), effective January 1, 201</w:t>
      </w:r>
      <w:r w:rsidR="00440868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 The increase for certain elected and appointed officials will process according to the following schedule:</w:t>
      </w:r>
    </w:p>
    <w:p w14:paraId="525DB548" w14:textId="77777777" w:rsidR="004F2264" w:rsidRPr="001A3CC7" w:rsidRDefault="004F2264" w:rsidP="004F2264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525"/>
        <w:gridCol w:w="6258"/>
      </w:tblGrid>
      <w:tr w:rsidR="004F2264" w:rsidRPr="001A3CC7" w14:paraId="4521EFDD" w14:textId="77777777" w:rsidTr="00F74AC7">
        <w:tc>
          <w:tcPr>
            <w:tcW w:w="1487" w:type="dxa"/>
            <w:shd w:val="clear" w:color="auto" w:fill="auto"/>
            <w:vAlign w:val="center"/>
          </w:tcPr>
          <w:p w14:paraId="70007208" w14:textId="77777777" w:rsidR="004F2264" w:rsidRPr="00736D38" w:rsidRDefault="004F2264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36D38">
              <w:rPr>
                <w:rFonts w:ascii="Verdana" w:hAnsi="Verdana" w:cs="Verdana"/>
                <w:b/>
                <w:sz w:val="20"/>
                <w:szCs w:val="20"/>
              </w:rPr>
              <w:t>Payroll Area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C2385CE" w14:textId="77777777" w:rsidR="004F2264" w:rsidRPr="00736D38" w:rsidRDefault="004F2264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36D38">
              <w:rPr>
                <w:rFonts w:ascii="Verdana" w:hAnsi="Verdana" w:cs="Verdana"/>
                <w:b/>
                <w:sz w:val="20"/>
                <w:szCs w:val="20"/>
              </w:rPr>
              <w:t>Pay Date</w:t>
            </w:r>
          </w:p>
        </w:tc>
        <w:tc>
          <w:tcPr>
            <w:tcW w:w="6258" w:type="dxa"/>
            <w:shd w:val="clear" w:color="auto" w:fill="auto"/>
          </w:tcPr>
          <w:p w14:paraId="59D11510" w14:textId="77777777" w:rsidR="004F2264" w:rsidRPr="00736D38" w:rsidRDefault="004F2264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36D38">
              <w:rPr>
                <w:rFonts w:ascii="Verdana" w:hAnsi="Verdana" w:cs="Verdana"/>
                <w:b/>
                <w:sz w:val="20"/>
                <w:szCs w:val="20"/>
              </w:rPr>
              <w:t>Payment</w:t>
            </w:r>
          </w:p>
        </w:tc>
      </w:tr>
      <w:tr w:rsidR="004F2264" w:rsidRPr="001A3CC7" w14:paraId="404F817D" w14:textId="77777777" w:rsidTr="00F74AC7">
        <w:tc>
          <w:tcPr>
            <w:tcW w:w="1487" w:type="dxa"/>
            <w:shd w:val="clear" w:color="auto" w:fill="auto"/>
            <w:vAlign w:val="center"/>
          </w:tcPr>
          <w:p w14:paraId="41FBBE16" w14:textId="77777777" w:rsidR="004F2264" w:rsidRPr="00736D38" w:rsidRDefault="004F2264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36D38">
              <w:rPr>
                <w:rFonts w:ascii="Verdana" w:hAnsi="Verdana" w:cs="Verdana"/>
                <w:sz w:val="20"/>
                <w:szCs w:val="20"/>
              </w:rPr>
              <w:t>Z3/T3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1B832CC" w14:textId="1A74BF93" w:rsidR="004F2264" w:rsidRPr="00736D38" w:rsidRDefault="001F5CDA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01/18/2019</w:t>
            </w:r>
          </w:p>
        </w:tc>
        <w:tc>
          <w:tcPr>
            <w:tcW w:w="6258" w:type="dxa"/>
            <w:shd w:val="clear" w:color="auto" w:fill="auto"/>
          </w:tcPr>
          <w:p w14:paraId="4281B006" w14:textId="41972081" w:rsidR="004F2264" w:rsidRPr="00736D38" w:rsidRDefault="004F2264" w:rsidP="00505CE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Partial</w:t>
            </w:r>
            <w:r w:rsidR="00F74AC7">
              <w:rPr>
                <w:rFonts w:ascii="Verdana" w:hAnsi="Verdana" w:cs="Verdana"/>
                <w:sz w:val="20"/>
                <w:szCs w:val="20"/>
              </w:rPr>
              <w:t xml:space="preserve"> payment for 01/01/201</w:t>
            </w:r>
            <w:r w:rsidR="00597B2B">
              <w:rPr>
                <w:rFonts w:ascii="Verdana" w:hAnsi="Verdana" w:cs="Verdana"/>
                <w:sz w:val="20"/>
                <w:szCs w:val="20"/>
              </w:rPr>
              <w:t>9</w:t>
            </w:r>
            <w:r w:rsidR="00F74AC7">
              <w:rPr>
                <w:rFonts w:ascii="Verdana" w:hAnsi="Verdana" w:cs="Verdana"/>
                <w:sz w:val="20"/>
                <w:szCs w:val="20"/>
              </w:rPr>
              <w:t xml:space="preserve"> to 01/0</w:t>
            </w:r>
            <w:r w:rsidR="00597B2B">
              <w:rPr>
                <w:rFonts w:ascii="Verdana" w:hAnsi="Verdana" w:cs="Verdana"/>
                <w:sz w:val="20"/>
                <w:szCs w:val="20"/>
              </w:rPr>
              <w:t>4</w:t>
            </w:r>
            <w:r w:rsidR="00F74AC7">
              <w:rPr>
                <w:rFonts w:ascii="Verdana" w:hAnsi="Verdana" w:cs="Verdana"/>
                <w:sz w:val="20"/>
                <w:szCs w:val="20"/>
              </w:rPr>
              <w:t>/201</w:t>
            </w:r>
            <w:r w:rsidR="00597B2B">
              <w:rPr>
                <w:rFonts w:ascii="Verdana" w:hAnsi="Verdana" w:cs="Verdana"/>
                <w:sz w:val="20"/>
                <w:szCs w:val="20"/>
              </w:rPr>
              <w:t>9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  <w:p w14:paraId="044AB006" w14:textId="39B6AAC2" w:rsidR="004F2264" w:rsidRPr="00736D38" w:rsidRDefault="004F2264" w:rsidP="00505CED">
            <w:pPr>
              <w:rPr>
                <w:rFonts w:ascii="Verdana" w:hAnsi="Verdana" w:cs="Verdana"/>
                <w:sz w:val="20"/>
                <w:szCs w:val="20"/>
              </w:rPr>
            </w:pPr>
            <w:r w:rsidRPr="00736D38">
              <w:rPr>
                <w:rFonts w:ascii="Verdana" w:hAnsi="Verdana" w:cs="Verdana"/>
                <w:sz w:val="20"/>
                <w:szCs w:val="20"/>
              </w:rPr>
              <w:t>First full payment will be received on pay date</w:t>
            </w:r>
            <w:r w:rsidR="001F5CDA">
              <w:rPr>
                <w:rFonts w:ascii="Verdana" w:hAnsi="Verdana" w:cs="Verdana"/>
                <w:sz w:val="20"/>
                <w:szCs w:val="20"/>
              </w:rPr>
              <w:t xml:space="preserve"> 02/01/2019.</w:t>
            </w:r>
          </w:p>
        </w:tc>
      </w:tr>
      <w:tr w:rsidR="004F2264" w:rsidRPr="001A3CC7" w14:paraId="34BB48BC" w14:textId="77777777" w:rsidTr="00F74AC7">
        <w:tc>
          <w:tcPr>
            <w:tcW w:w="1487" w:type="dxa"/>
            <w:shd w:val="clear" w:color="auto" w:fill="auto"/>
            <w:vAlign w:val="center"/>
          </w:tcPr>
          <w:p w14:paraId="452771CD" w14:textId="77777777" w:rsidR="004F2264" w:rsidRPr="00736D38" w:rsidRDefault="004F2264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36D38">
              <w:rPr>
                <w:rFonts w:ascii="Verdana" w:hAnsi="Verdana" w:cs="Verdana"/>
                <w:sz w:val="20"/>
                <w:szCs w:val="20"/>
              </w:rPr>
              <w:t>Z2/T2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54593B3" w14:textId="03FB768F" w:rsidR="004F2264" w:rsidRPr="00736D38" w:rsidRDefault="001F5CDA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01/25/2019</w:t>
            </w:r>
          </w:p>
        </w:tc>
        <w:tc>
          <w:tcPr>
            <w:tcW w:w="6258" w:type="dxa"/>
            <w:shd w:val="clear" w:color="auto" w:fill="auto"/>
          </w:tcPr>
          <w:p w14:paraId="294005C8" w14:textId="68EE3468" w:rsidR="004F2264" w:rsidRPr="00736D38" w:rsidRDefault="004F2264" w:rsidP="00505CE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Partial</w:t>
            </w:r>
            <w:r w:rsidR="00F74AC7">
              <w:rPr>
                <w:rFonts w:ascii="Verdana" w:hAnsi="Verdana" w:cs="Verdana"/>
                <w:sz w:val="20"/>
                <w:szCs w:val="20"/>
              </w:rPr>
              <w:t xml:space="preserve"> payment for 01/01/201</w:t>
            </w:r>
            <w:r w:rsidR="00597B2B">
              <w:rPr>
                <w:rFonts w:ascii="Verdana" w:hAnsi="Verdana" w:cs="Verdana"/>
                <w:sz w:val="20"/>
                <w:szCs w:val="20"/>
              </w:rPr>
              <w:t>9</w:t>
            </w:r>
            <w:r w:rsidR="00F74AC7">
              <w:rPr>
                <w:rFonts w:ascii="Verdana" w:hAnsi="Verdana" w:cs="Verdana"/>
                <w:sz w:val="20"/>
                <w:szCs w:val="20"/>
              </w:rPr>
              <w:t xml:space="preserve"> to 01/1</w:t>
            </w:r>
            <w:r w:rsidR="00597B2B">
              <w:rPr>
                <w:rFonts w:ascii="Verdana" w:hAnsi="Verdana" w:cs="Verdana"/>
                <w:sz w:val="20"/>
                <w:szCs w:val="20"/>
              </w:rPr>
              <w:t>1</w:t>
            </w:r>
            <w:r w:rsidR="00F74AC7">
              <w:rPr>
                <w:rFonts w:ascii="Verdana" w:hAnsi="Verdana" w:cs="Verdana"/>
                <w:sz w:val="20"/>
                <w:szCs w:val="20"/>
              </w:rPr>
              <w:t>/201</w:t>
            </w:r>
            <w:r w:rsidR="00597B2B">
              <w:rPr>
                <w:rFonts w:ascii="Verdana" w:hAnsi="Verdana" w:cs="Verdana"/>
                <w:sz w:val="20"/>
                <w:szCs w:val="20"/>
              </w:rPr>
              <w:t>9</w:t>
            </w:r>
            <w:r w:rsidRPr="00736D38">
              <w:rPr>
                <w:rFonts w:ascii="Verdana" w:hAnsi="Verdana" w:cs="Verdana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  <w:p w14:paraId="182A95A3" w14:textId="2FB491CF" w:rsidR="004F2264" w:rsidRPr="00736D38" w:rsidRDefault="004F2264" w:rsidP="00505CED">
            <w:pPr>
              <w:rPr>
                <w:rFonts w:ascii="Verdana" w:hAnsi="Verdana" w:cs="Verdana"/>
                <w:sz w:val="20"/>
                <w:szCs w:val="20"/>
              </w:rPr>
            </w:pPr>
            <w:r w:rsidRPr="00736D38">
              <w:rPr>
                <w:rFonts w:ascii="Verdana" w:hAnsi="Verdana" w:cs="Verdana"/>
                <w:sz w:val="20"/>
                <w:szCs w:val="20"/>
              </w:rPr>
              <w:t xml:space="preserve">First full payment will be received on pay date </w:t>
            </w:r>
            <w:r w:rsidR="001F5CDA">
              <w:rPr>
                <w:rFonts w:ascii="Verdana" w:hAnsi="Verdana" w:cs="Verdana"/>
                <w:sz w:val="20"/>
                <w:szCs w:val="20"/>
              </w:rPr>
              <w:t>02/08/2019.</w:t>
            </w:r>
          </w:p>
        </w:tc>
      </w:tr>
      <w:tr w:rsidR="004F2264" w:rsidRPr="001A3CC7" w14:paraId="5FD612D0" w14:textId="77777777" w:rsidTr="00F74AC7">
        <w:tc>
          <w:tcPr>
            <w:tcW w:w="1487" w:type="dxa"/>
            <w:shd w:val="clear" w:color="auto" w:fill="auto"/>
            <w:vAlign w:val="center"/>
          </w:tcPr>
          <w:p w14:paraId="0FE228D2" w14:textId="77777777" w:rsidR="004F2264" w:rsidRPr="00736D38" w:rsidRDefault="004F2264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36D38">
              <w:rPr>
                <w:rFonts w:ascii="Verdana" w:hAnsi="Verdana" w:cs="Verdana"/>
                <w:sz w:val="20"/>
                <w:szCs w:val="20"/>
              </w:rPr>
              <w:t>Z1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244AF91" w14:textId="227ED92F" w:rsidR="004F2264" w:rsidRPr="00736D38" w:rsidRDefault="001F5CDA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01/25/2019</w:t>
            </w:r>
          </w:p>
        </w:tc>
        <w:tc>
          <w:tcPr>
            <w:tcW w:w="6258" w:type="dxa"/>
            <w:shd w:val="clear" w:color="auto" w:fill="auto"/>
          </w:tcPr>
          <w:p w14:paraId="50103F1E" w14:textId="242A9925" w:rsidR="00F74AC7" w:rsidRPr="00736D38" w:rsidRDefault="00F74AC7" w:rsidP="00F74AC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Partial payment for 01/01/201</w:t>
            </w:r>
            <w:r w:rsidR="00597B2B">
              <w:rPr>
                <w:rFonts w:ascii="Verdana" w:hAnsi="Verdana" w:cs="Verdana"/>
                <w:sz w:val="20"/>
                <w:szCs w:val="20"/>
              </w:rPr>
              <w:t>9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to 01/1</w:t>
            </w:r>
            <w:r w:rsidR="00597B2B"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>/201</w:t>
            </w:r>
            <w:r w:rsidR="00597B2B">
              <w:rPr>
                <w:rFonts w:ascii="Verdana" w:hAnsi="Verdana" w:cs="Verdana"/>
                <w:sz w:val="20"/>
                <w:szCs w:val="20"/>
              </w:rPr>
              <w:t>9</w:t>
            </w:r>
            <w:r w:rsidRPr="00736D38">
              <w:rPr>
                <w:rFonts w:ascii="Verdana" w:hAnsi="Verdana" w:cs="Verdana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  <w:p w14:paraId="1A523C0A" w14:textId="1E2B82C8" w:rsidR="004F2264" w:rsidRPr="00736D38" w:rsidRDefault="00F74AC7" w:rsidP="00F74AC7">
            <w:pPr>
              <w:rPr>
                <w:rFonts w:ascii="Verdana" w:hAnsi="Verdana" w:cs="Verdana"/>
                <w:sz w:val="20"/>
                <w:szCs w:val="20"/>
              </w:rPr>
            </w:pPr>
            <w:r w:rsidRPr="00736D38">
              <w:rPr>
                <w:rFonts w:ascii="Verdana" w:hAnsi="Verdana" w:cs="Verdana"/>
                <w:sz w:val="20"/>
                <w:szCs w:val="20"/>
              </w:rPr>
              <w:t xml:space="preserve">First full payment will be received on pay date </w:t>
            </w:r>
            <w:r w:rsidR="001F5CDA">
              <w:rPr>
                <w:rFonts w:ascii="Verdana" w:hAnsi="Verdana" w:cs="Verdana"/>
                <w:sz w:val="20"/>
                <w:szCs w:val="20"/>
              </w:rPr>
              <w:t>02/08/2019.</w:t>
            </w:r>
          </w:p>
        </w:tc>
      </w:tr>
    </w:tbl>
    <w:p w14:paraId="329CA4D5" w14:textId="77777777" w:rsidR="00264B99" w:rsidRDefault="00264B99" w:rsidP="00E56507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3E6C4F1A" w14:textId="77777777" w:rsidR="004F2264" w:rsidRDefault="004F2264" w:rsidP="00E56507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4F2264">
        <w:rPr>
          <w:rFonts w:ascii="Verdana" w:hAnsi="Verdana" w:cs="Verdana"/>
          <w:b/>
          <w:bCs/>
          <w:sz w:val="20"/>
          <w:szCs w:val="20"/>
          <w:u w:val="single"/>
        </w:rPr>
        <w:t>Tool Allowance</w:t>
      </w:r>
    </w:p>
    <w:p w14:paraId="5C237C79" w14:textId="700BFE36" w:rsidR="001A0C72" w:rsidRDefault="001A0C72" w:rsidP="00E565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Effective January 201</w:t>
      </w:r>
      <w:r w:rsidR="00DF78C3">
        <w:rPr>
          <w:rFonts w:ascii="Verdana" w:hAnsi="Verdana" w:cs="Verdana"/>
          <w:bCs/>
          <w:sz w:val="20"/>
          <w:szCs w:val="20"/>
        </w:rPr>
        <w:t>9</w:t>
      </w:r>
      <w:r>
        <w:rPr>
          <w:rFonts w:ascii="Verdana" w:hAnsi="Verdana" w:cs="Verdana"/>
          <w:bCs/>
          <w:sz w:val="20"/>
          <w:szCs w:val="20"/>
        </w:rPr>
        <w:t xml:space="preserve">, tool allowances will process for eligible Diesel and Construction Equipment Mechanics (Job Code 93130) </w:t>
      </w:r>
      <w:r w:rsidR="00372435">
        <w:rPr>
          <w:rFonts w:ascii="Verdana" w:hAnsi="Verdana" w:cs="Verdana"/>
          <w:bCs/>
          <w:sz w:val="20"/>
          <w:szCs w:val="20"/>
        </w:rPr>
        <w:t>with</w:t>
      </w:r>
      <w:r>
        <w:rPr>
          <w:rFonts w:ascii="Verdana" w:hAnsi="Verdana" w:cs="Verdana"/>
          <w:bCs/>
          <w:sz w:val="20"/>
          <w:szCs w:val="20"/>
        </w:rPr>
        <w:t xml:space="preserve">in the Department of Transportation according </w:t>
      </w:r>
      <w:r w:rsidR="00372435">
        <w:rPr>
          <w:rFonts w:ascii="Verdana" w:hAnsi="Verdana" w:cs="Verdana"/>
          <w:bCs/>
          <w:sz w:val="20"/>
          <w:szCs w:val="20"/>
        </w:rPr>
        <w:t xml:space="preserve">to </w:t>
      </w:r>
      <w:r>
        <w:rPr>
          <w:rFonts w:ascii="Verdana" w:hAnsi="Verdana" w:cs="Verdana"/>
          <w:bCs/>
          <w:sz w:val="20"/>
          <w:szCs w:val="20"/>
        </w:rPr>
        <w:t>the following schedule:</w:t>
      </w:r>
    </w:p>
    <w:p w14:paraId="586B1A9A" w14:textId="77777777" w:rsidR="004F2264" w:rsidRDefault="004F2264" w:rsidP="00E56507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2269"/>
        <w:gridCol w:w="1800"/>
        <w:gridCol w:w="1415"/>
        <w:gridCol w:w="2170"/>
      </w:tblGrid>
      <w:tr w:rsidR="00640F11" w:rsidRPr="00736D38" w14:paraId="0EF0F1F1" w14:textId="77777777" w:rsidTr="00640F11">
        <w:tc>
          <w:tcPr>
            <w:tcW w:w="1331" w:type="dxa"/>
            <w:shd w:val="clear" w:color="auto" w:fill="auto"/>
            <w:vAlign w:val="center"/>
          </w:tcPr>
          <w:p w14:paraId="1FE86E53" w14:textId="77777777" w:rsidR="00640F11" w:rsidRPr="00736D38" w:rsidRDefault="00640F11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36D38">
              <w:rPr>
                <w:rFonts w:ascii="Verdana" w:hAnsi="Verdana" w:cs="Verdana"/>
                <w:b/>
                <w:sz w:val="20"/>
                <w:szCs w:val="20"/>
              </w:rPr>
              <w:t>Payroll Area</w:t>
            </w:r>
          </w:p>
        </w:tc>
        <w:tc>
          <w:tcPr>
            <w:tcW w:w="2269" w:type="dxa"/>
          </w:tcPr>
          <w:p w14:paraId="32DD1A9A" w14:textId="77777777" w:rsidR="00640F11" w:rsidRDefault="00640F11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Processing Date</w:t>
            </w:r>
          </w:p>
        </w:tc>
        <w:tc>
          <w:tcPr>
            <w:tcW w:w="1800" w:type="dxa"/>
          </w:tcPr>
          <w:p w14:paraId="6752657A" w14:textId="77777777" w:rsidR="00640F11" w:rsidRPr="00736D38" w:rsidRDefault="00640F11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Effective Date</w:t>
            </w:r>
          </w:p>
        </w:tc>
        <w:tc>
          <w:tcPr>
            <w:tcW w:w="1194" w:type="dxa"/>
            <w:shd w:val="clear" w:color="auto" w:fill="auto"/>
          </w:tcPr>
          <w:p w14:paraId="5F0BE9DC" w14:textId="77777777" w:rsidR="00640F11" w:rsidRPr="00736D38" w:rsidRDefault="00640F11" w:rsidP="00640F11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36D38">
              <w:rPr>
                <w:rFonts w:ascii="Verdana" w:hAnsi="Verdana" w:cs="Verdana"/>
                <w:b/>
                <w:sz w:val="20"/>
                <w:szCs w:val="20"/>
              </w:rPr>
              <w:t>Pay Date</w:t>
            </w:r>
          </w:p>
        </w:tc>
        <w:tc>
          <w:tcPr>
            <w:tcW w:w="2170" w:type="dxa"/>
            <w:shd w:val="clear" w:color="auto" w:fill="auto"/>
          </w:tcPr>
          <w:p w14:paraId="67179661" w14:textId="77777777" w:rsidR="00640F11" w:rsidRPr="00736D38" w:rsidRDefault="00640F11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36D38">
              <w:rPr>
                <w:rFonts w:ascii="Verdana" w:hAnsi="Verdana" w:cs="Verdana"/>
                <w:b/>
                <w:sz w:val="20"/>
                <w:szCs w:val="20"/>
              </w:rPr>
              <w:t>Payment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Amount</w:t>
            </w:r>
          </w:p>
        </w:tc>
      </w:tr>
      <w:tr w:rsidR="00640F11" w:rsidRPr="00736D38" w14:paraId="64DA25F3" w14:textId="77777777" w:rsidTr="00640F11">
        <w:tc>
          <w:tcPr>
            <w:tcW w:w="1331" w:type="dxa"/>
            <w:shd w:val="clear" w:color="auto" w:fill="auto"/>
            <w:vAlign w:val="center"/>
          </w:tcPr>
          <w:p w14:paraId="4C7E50D7" w14:textId="77777777" w:rsidR="00640F11" w:rsidRPr="00736D38" w:rsidRDefault="00640F11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36D38">
              <w:rPr>
                <w:rFonts w:ascii="Verdana" w:hAnsi="Verdana" w:cs="Verdana"/>
                <w:sz w:val="20"/>
                <w:szCs w:val="20"/>
              </w:rPr>
              <w:t>T3</w:t>
            </w:r>
          </w:p>
        </w:tc>
        <w:tc>
          <w:tcPr>
            <w:tcW w:w="2269" w:type="dxa"/>
          </w:tcPr>
          <w:p w14:paraId="24F01AFA" w14:textId="19882F96" w:rsidR="00640F11" w:rsidRDefault="00640F11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01/</w:t>
            </w:r>
            <w:r w:rsidR="00DF78C3">
              <w:rPr>
                <w:rFonts w:ascii="Verdana" w:hAnsi="Verdana" w:cs="Verdana"/>
                <w:sz w:val="20"/>
                <w:szCs w:val="20"/>
              </w:rPr>
              <w:t>10</w:t>
            </w:r>
            <w:r>
              <w:rPr>
                <w:rFonts w:ascii="Verdana" w:hAnsi="Verdana" w:cs="Verdana"/>
                <w:sz w:val="20"/>
                <w:szCs w:val="20"/>
              </w:rPr>
              <w:t>/201</w:t>
            </w:r>
            <w:r w:rsidR="00DF78C3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14:paraId="2A47BE9D" w14:textId="541C7807" w:rsidR="00640F11" w:rsidRDefault="00640F11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01/0</w:t>
            </w:r>
            <w:r w:rsidR="00DF78C3"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>/201</w:t>
            </w:r>
            <w:r w:rsidR="00DF78C3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D68660D" w14:textId="06A2081C" w:rsidR="00640F11" w:rsidRPr="00736D38" w:rsidRDefault="00640F11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02/0</w:t>
            </w:r>
            <w:r w:rsidR="001F5CDA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/201</w:t>
            </w:r>
            <w:r w:rsidR="00D123A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2170" w:type="dxa"/>
            <w:shd w:val="clear" w:color="auto" w:fill="auto"/>
          </w:tcPr>
          <w:p w14:paraId="491FD278" w14:textId="77777777" w:rsidR="00640F11" w:rsidRPr="00736D38" w:rsidRDefault="00640F11" w:rsidP="00640F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$200</w:t>
            </w:r>
          </w:p>
        </w:tc>
      </w:tr>
    </w:tbl>
    <w:p w14:paraId="1FEECBBF" w14:textId="77777777" w:rsidR="00640F11" w:rsidRPr="004F2264" w:rsidRDefault="00640F11" w:rsidP="00E56507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270B2A84" w14:textId="77777777" w:rsidR="004F2264" w:rsidRPr="00137538" w:rsidRDefault="004F2264" w:rsidP="004F2264">
      <w:pPr>
        <w:rPr>
          <w:rFonts w:ascii="Verdana" w:hAnsi="Verdana" w:cs="Verdana"/>
          <w:b/>
          <w:sz w:val="20"/>
          <w:szCs w:val="20"/>
          <w:u w:val="single"/>
        </w:rPr>
      </w:pPr>
      <w:r w:rsidRPr="00137538">
        <w:rPr>
          <w:rFonts w:ascii="Verdana" w:hAnsi="Verdana" w:cs="Verdana"/>
          <w:b/>
          <w:sz w:val="20"/>
          <w:szCs w:val="20"/>
          <w:u w:val="single"/>
        </w:rPr>
        <w:t>System Non-Availability</w:t>
      </w:r>
    </w:p>
    <w:p w14:paraId="726AD268" w14:textId="42CDC67F" w:rsidR="004F2264" w:rsidRPr="00137538" w:rsidRDefault="004F2264" w:rsidP="004F2264">
      <w:pPr>
        <w:rPr>
          <w:rFonts w:ascii="Verdana" w:hAnsi="Verdana" w:cs="Verdana"/>
          <w:sz w:val="20"/>
          <w:szCs w:val="20"/>
        </w:rPr>
      </w:pPr>
      <w:r w:rsidRPr="00137538">
        <w:rPr>
          <w:rFonts w:ascii="Verdana" w:hAnsi="Verdana" w:cs="Verdana"/>
          <w:sz w:val="20"/>
          <w:szCs w:val="20"/>
        </w:rPr>
        <w:t xml:space="preserve">There </w:t>
      </w:r>
      <w:r w:rsidR="00FD0203">
        <w:rPr>
          <w:rFonts w:ascii="Verdana" w:hAnsi="Verdana" w:cs="Verdana"/>
          <w:sz w:val="20"/>
          <w:szCs w:val="20"/>
        </w:rPr>
        <w:t>is</w:t>
      </w:r>
      <w:r w:rsidRPr="00137538">
        <w:rPr>
          <w:rFonts w:ascii="Verdana" w:hAnsi="Verdana" w:cs="Verdana"/>
          <w:sz w:val="20"/>
          <w:szCs w:val="20"/>
        </w:rPr>
        <w:t xml:space="preserve"> no scheduled </w:t>
      </w:r>
      <w:r w:rsidR="00372435">
        <w:rPr>
          <w:rFonts w:ascii="Verdana" w:hAnsi="Verdana" w:cs="Verdana"/>
          <w:sz w:val="20"/>
          <w:szCs w:val="20"/>
        </w:rPr>
        <w:t>blackout period</w:t>
      </w:r>
      <w:bookmarkStart w:id="0" w:name="_GoBack"/>
      <w:bookmarkEnd w:id="0"/>
      <w:r w:rsidRPr="00137538">
        <w:rPr>
          <w:rFonts w:ascii="Verdana" w:hAnsi="Verdana" w:cs="Verdana"/>
          <w:sz w:val="20"/>
          <w:szCs w:val="20"/>
        </w:rPr>
        <w:t xml:space="preserve"> for SAP.</w:t>
      </w:r>
      <w:r w:rsidR="00302655">
        <w:rPr>
          <w:rFonts w:ascii="Verdana" w:hAnsi="Verdana" w:cs="Verdana"/>
          <w:sz w:val="20"/>
          <w:szCs w:val="20"/>
        </w:rPr>
        <w:t xml:space="preserve">  </w:t>
      </w:r>
    </w:p>
    <w:p w14:paraId="0716D26D" w14:textId="77777777" w:rsidR="004F2264" w:rsidRPr="009C1B31" w:rsidRDefault="004F2264" w:rsidP="00E56507">
      <w:pPr>
        <w:rPr>
          <w:rFonts w:ascii="Verdana" w:hAnsi="Verdana" w:cs="Verdana"/>
          <w:sz w:val="20"/>
          <w:szCs w:val="20"/>
        </w:rPr>
      </w:pPr>
    </w:p>
    <w:p w14:paraId="11934FC8" w14:textId="27B83832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6A0CA87A2DCE424ABD65B4754A1FAA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13CE3">
            <w:rPr>
              <w:rFonts w:ascii="Verdana" w:hAnsi="Verdana" w:cs="Verdana"/>
              <w:sz w:val="20"/>
              <w:szCs w:val="20"/>
            </w:rPr>
            <w:t>January 2019 Mass Compensation Processing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996D54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757B9" w14:textId="77777777" w:rsidR="00E375AD" w:rsidRDefault="00E375AD">
      <w:r>
        <w:separator/>
      </w:r>
    </w:p>
  </w:endnote>
  <w:endnote w:type="continuationSeparator" w:id="0">
    <w:p w14:paraId="43929C74" w14:textId="77777777" w:rsidR="00E375AD" w:rsidRDefault="00E3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C104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08995C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4387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A40CD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9F58DC0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3B22E" w14:textId="77777777" w:rsidR="00E375AD" w:rsidRDefault="00E375AD">
      <w:r>
        <w:separator/>
      </w:r>
    </w:p>
  </w:footnote>
  <w:footnote w:type="continuationSeparator" w:id="0">
    <w:p w14:paraId="65CD2083" w14:textId="77777777" w:rsidR="00E375AD" w:rsidRDefault="00E3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B081D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562FA3C" w14:textId="1537D8CB" w:rsidR="00C903F3" w:rsidRPr="009C625C" w:rsidRDefault="00FD020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013CE3">
          <w:rPr>
            <w:rFonts w:ascii="Verdana" w:hAnsi="Verdana" w:cs="Arial"/>
            <w:b/>
            <w:bCs/>
            <w:sz w:val="28"/>
            <w:szCs w:val="28"/>
          </w:rPr>
          <w:t>8</w:t>
        </w:r>
        <w:r w:rsidR="00DA1871">
          <w:rPr>
            <w:rFonts w:ascii="Verdana" w:hAnsi="Verdana" w:cs="Arial"/>
            <w:b/>
            <w:bCs/>
            <w:sz w:val="28"/>
            <w:szCs w:val="28"/>
          </w:rPr>
          <w:t>-</w:t>
        </w:r>
        <w:r w:rsidR="009D2A8E">
          <w:rPr>
            <w:rFonts w:ascii="Verdana" w:hAnsi="Verdana" w:cs="Arial"/>
            <w:b/>
            <w:bCs/>
            <w:sz w:val="28"/>
            <w:szCs w:val="28"/>
          </w:rPr>
          <w:t>10</w:t>
        </w:r>
      </w:sdtContent>
    </w:sdt>
  </w:p>
  <w:p w14:paraId="11267E08" w14:textId="5E2DB18B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9D2A8E">
      <w:rPr>
        <w:rFonts w:ascii="Verdana" w:hAnsi="Verdana" w:cs="Arial"/>
        <w:sz w:val="20"/>
        <w:szCs w:val="20"/>
      </w:rPr>
      <w:t>12</w:t>
    </w:r>
    <w:r w:rsidR="005A7C2A">
      <w:rPr>
        <w:rFonts w:ascii="Verdana" w:hAnsi="Verdana" w:cs="Arial"/>
        <w:sz w:val="20"/>
        <w:szCs w:val="20"/>
      </w:rPr>
      <w:t>.</w:t>
    </w:r>
    <w:r w:rsidR="009D2A8E">
      <w:rPr>
        <w:rFonts w:ascii="Verdana" w:hAnsi="Verdana" w:cs="Arial"/>
        <w:sz w:val="20"/>
        <w:szCs w:val="20"/>
      </w:rPr>
      <w:t>21</w:t>
    </w:r>
    <w:r>
      <w:rPr>
        <w:rFonts w:ascii="Verdana" w:hAnsi="Verdana" w:cs="Arial"/>
        <w:sz w:val="20"/>
        <w:szCs w:val="20"/>
      </w:rPr>
      <w:t>.201</w:t>
    </w:r>
    <w:r w:rsidR="00013CE3">
      <w:rPr>
        <w:rFonts w:ascii="Verdana" w:hAnsi="Verdana" w:cs="Arial"/>
        <w:sz w:val="20"/>
        <w:szCs w:val="20"/>
      </w:rPr>
      <w:t>8</w:t>
    </w:r>
  </w:p>
  <w:p w14:paraId="0CBDAF28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63F5587D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56107D"/>
    <w:multiLevelType w:val="hybridMultilevel"/>
    <w:tmpl w:val="598497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B9A53DA"/>
    <w:multiLevelType w:val="hybridMultilevel"/>
    <w:tmpl w:val="053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28"/>
  </w:num>
  <w:num w:numId="5">
    <w:abstractNumId w:val="31"/>
  </w:num>
  <w:num w:numId="6">
    <w:abstractNumId w:val="27"/>
  </w:num>
  <w:num w:numId="7">
    <w:abstractNumId w:val="13"/>
  </w:num>
  <w:num w:numId="8">
    <w:abstractNumId w:val="29"/>
  </w:num>
  <w:num w:numId="9">
    <w:abstractNumId w:val="6"/>
  </w:num>
  <w:num w:numId="10">
    <w:abstractNumId w:val="21"/>
  </w:num>
  <w:num w:numId="11">
    <w:abstractNumId w:val="12"/>
  </w:num>
  <w:num w:numId="12">
    <w:abstractNumId w:val="3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4"/>
  </w:num>
  <w:num w:numId="19">
    <w:abstractNumId w:val="34"/>
  </w:num>
  <w:num w:numId="20">
    <w:abstractNumId w:val="1"/>
  </w:num>
  <w:num w:numId="21">
    <w:abstractNumId w:val="4"/>
  </w:num>
  <w:num w:numId="22">
    <w:abstractNumId w:val="18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15"/>
  </w:num>
  <w:num w:numId="28">
    <w:abstractNumId w:val="10"/>
  </w:num>
  <w:num w:numId="29">
    <w:abstractNumId w:val="17"/>
  </w:num>
  <w:num w:numId="30">
    <w:abstractNumId w:val="23"/>
  </w:num>
  <w:num w:numId="31">
    <w:abstractNumId w:val="32"/>
  </w:num>
  <w:num w:numId="32">
    <w:abstractNumId w:val="5"/>
  </w:num>
  <w:num w:numId="33">
    <w:abstractNumId w:val="16"/>
  </w:num>
  <w:num w:numId="34">
    <w:abstractNumId w:val="3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83"/>
    <w:rsid w:val="00010771"/>
    <w:rsid w:val="000128F7"/>
    <w:rsid w:val="00013CE3"/>
    <w:rsid w:val="00015F8F"/>
    <w:rsid w:val="0001706B"/>
    <w:rsid w:val="00017F94"/>
    <w:rsid w:val="00030F79"/>
    <w:rsid w:val="00041A44"/>
    <w:rsid w:val="000578C2"/>
    <w:rsid w:val="000677CE"/>
    <w:rsid w:val="00083DD4"/>
    <w:rsid w:val="00085AB3"/>
    <w:rsid w:val="00092876"/>
    <w:rsid w:val="000973C3"/>
    <w:rsid w:val="000A0B0D"/>
    <w:rsid w:val="000A151D"/>
    <w:rsid w:val="000A310F"/>
    <w:rsid w:val="000D1069"/>
    <w:rsid w:val="000D59B5"/>
    <w:rsid w:val="000D78CE"/>
    <w:rsid w:val="000E4D76"/>
    <w:rsid w:val="000E559E"/>
    <w:rsid w:val="000E57BD"/>
    <w:rsid w:val="000F4067"/>
    <w:rsid w:val="00100840"/>
    <w:rsid w:val="001013D9"/>
    <w:rsid w:val="00106466"/>
    <w:rsid w:val="0011336B"/>
    <w:rsid w:val="00123562"/>
    <w:rsid w:val="00126F48"/>
    <w:rsid w:val="00135131"/>
    <w:rsid w:val="001416F3"/>
    <w:rsid w:val="00142029"/>
    <w:rsid w:val="00163F86"/>
    <w:rsid w:val="00175C94"/>
    <w:rsid w:val="00175E9F"/>
    <w:rsid w:val="00183489"/>
    <w:rsid w:val="00186281"/>
    <w:rsid w:val="00194B6C"/>
    <w:rsid w:val="001A0C72"/>
    <w:rsid w:val="001B3B1F"/>
    <w:rsid w:val="001B565A"/>
    <w:rsid w:val="001C1132"/>
    <w:rsid w:val="001C5B3C"/>
    <w:rsid w:val="001C7C6A"/>
    <w:rsid w:val="001D27AD"/>
    <w:rsid w:val="001D3170"/>
    <w:rsid w:val="001D3202"/>
    <w:rsid w:val="001D5B6C"/>
    <w:rsid w:val="001E5838"/>
    <w:rsid w:val="001F3743"/>
    <w:rsid w:val="001F5CDA"/>
    <w:rsid w:val="00204AB0"/>
    <w:rsid w:val="002277C4"/>
    <w:rsid w:val="00240415"/>
    <w:rsid w:val="00250F03"/>
    <w:rsid w:val="00253D59"/>
    <w:rsid w:val="00254EAB"/>
    <w:rsid w:val="00261AF4"/>
    <w:rsid w:val="00262C4D"/>
    <w:rsid w:val="00263E58"/>
    <w:rsid w:val="0026477D"/>
    <w:rsid w:val="00264B99"/>
    <w:rsid w:val="00266FE7"/>
    <w:rsid w:val="00270DEA"/>
    <w:rsid w:val="00272808"/>
    <w:rsid w:val="00273B57"/>
    <w:rsid w:val="002747B9"/>
    <w:rsid w:val="00276E26"/>
    <w:rsid w:val="00296667"/>
    <w:rsid w:val="0029768F"/>
    <w:rsid w:val="00297839"/>
    <w:rsid w:val="002A141B"/>
    <w:rsid w:val="002A29AE"/>
    <w:rsid w:val="002D05F5"/>
    <w:rsid w:val="002D5FEF"/>
    <w:rsid w:val="002E2EC1"/>
    <w:rsid w:val="002E713D"/>
    <w:rsid w:val="002E7E5C"/>
    <w:rsid w:val="002F0C17"/>
    <w:rsid w:val="00302655"/>
    <w:rsid w:val="00303D42"/>
    <w:rsid w:val="00303DED"/>
    <w:rsid w:val="00307692"/>
    <w:rsid w:val="00320821"/>
    <w:rsid w:val="00363E80"/>
    <w:rsid w:val="00372435"/>
    <w:rsid w:val="00377242"/>
    <w:rsid w:val="0038272A"/>
    <w:rsid w:val="00387972"/>
    <w:rsid w:val="003934E3"/>
    <w:rsid w:val="003A5341"/>
    <w:rsid w:val="003B2868"/>
    <w:rsid w:val="003C1AFF"/>
    <w:rsid w:val="003D17FF"/>
    <w:rsid w:val="003D2AEF"/>
    <w:rsid w:val="003D3C16"/>
    <w:rsid w:val="003D435F"/>
    <w:rsid w:val="003F1703"/>
    <w:rsid w:val="003F28EF"/>
    <w:rsid w:val="003F3A1E"/>
    <w:rsid w:val="003F45B6"/>
    <w:rsid w:val="00401BB7"/>
    <w:rsid w:val="00406094"/>
    <w:rsid w:val="00407D92"/>
    <w:rsid w:val="00412D1B"/>
    <w:rsid w:val="004231E8"/>
    <w:rsid w:val="00431645"/>
    <w:rsid w:val="00440868"/>
    <w:rsid w:val="00440EA6"/>
    <w:rsid w:val="00454B70"/>
    <w:rsid w:val="00463296"/>
    <w:rsid w:val="004639E3"/>
    <w:rsid w:val="00463D94"/>
    <w:rsid w:val="00466DB7"/>
    <w:rsid w:val="00472D0E"/>
    <w:rsid w:val="00473681"/>
    <w:rsid w:val="004821A6"/>
    <w:rsid w:val="0048680C"/>
    <w:rsid w:val="004A037D"/>
    <w:rsid w:val="004A39F7"/>
    <w:rsid w:val="004A3D9B"/>
    <w:rsid w:val="004A772A"/>
    <w:rsid w:val="004B0360"/>
    <w:rsid w:val="004C157A"/>
    <w:rsid w:val="004D2081"/>
    <w:rsid w:val="004E1A78"/>
    <w:rsid w:val="004F2264"/>
    <w:rsid w:val="004F29D0"/>
    <w:rsid w:val="004F46C0"/>
    <w:rsid w:val="0050528D"/>
    <w:rsid w:val="005052EC"/>
    <w:rsid w:val="00510E46"/>
    <w:rsid w:val="00513F01"/>
    <w:rsid w:val="00517E5B"/>
    <w:rsid w:val="00525B66"/>
    <w:rsid w:val="00526EB1"/>
    <w:rsid w:val="00531D0D"/>
    <w:rsid w:val="00532E6D"/>
    <w:rsid w:val="00537D70"/>
    <w:rsid w:val="005420FE"/>
    <w:rsid w:val="00547A6D"/>
    <w:rsid w:val="00553420"/>
    <w:rsid w:val="00557B92"/>
    <w:rsid w:val="00561F4C"/>
    <w:rsid w:val="005671FB"/>
    <w:rsid w:val="00575F1A"/>
    <w:rsid w:val="00581953"/>
    <w:rsid w:val="00582DA8"/>
    <w:rsid w:val="0058507F"/>
    <w:rsid w:val="00597B2B"/>
    <w:rsid w:val="005A7C2A"/>
    <w:rsid w:val="005A7DC2"/>
    <w:rsid w:val="005B7C05"/>
    <w:rsid w:val="005C0E77"/>
    <w:rsid w:val="005D45D6"/>
    <w:rsid w:val="005E5A3F"/>
    <w:rsid w:val="005F6C66"/>
    <w:rsid w:val="00602857"/>
    <w:rsid w:val="00611055"/>
    <w:rsid w:val="0061211C"/>
    <w:rsid w:val="00615751"/>
    <w:rsid w:val="006268A7"/>
    <w:rsid w:val="0063058E"/>
    <w:rsid w:val="00632CCC"/>
    <w:rsid w:val="0063484A"/>
    <w:rsid w:val="00640F11"/>
    <w:rsid w:val="0065376D"/>
    <w:rsid w:val="00654258"/>
    <w:rsid w:val="00655AA4"/>
    <w:rsid w:val="0067247D"/>
    <w:rsid w:val="00673338"/>
    <w:rsid w:val="00675176"/>
    <w:rsid w:val="00675DE1"/>
    <w:rsid w:val="006775A3"/>
    <w:rsid w:val="00682D11"/>
    <w:rsid w:val="00684947"/>
    <w:rsid w:val="00685856"/>
    <w:rsid w:val="00692502"/>
    <w:rsid w:val="006A226E"/>
    <w:rsid w:val="006A62D1"/>
    <w:rsid w:val="006A7D52"/>
    <w:rsid w:val="006C05AB"/>
    <w:rsid w:val="006C3972"/>
    <w:rsid w:val="006C47B2"/>
    <w:rsid w:val="006C65B6"/>
    <w:rsid w:val="006D4829"/>
    <w:rsid w:val="006D52CD"/>
    <w:rsid w:val="006D7B98"/>
    <w:rsid w:val="006E3735"/>
    <w:rsid w:val="006E43DF"/>
    <w:rsid w:val="006F085B"/>
    <w:rsid w:val="006F1162"/>
    <w:rsid w:val="006F6735"/>
    <w:rsid w:val="006F7B2C"/>
    <w:rsid w:val="007008F5"/>
    <w:rsid w:val="00704EFD"/>
    <w:rsid w:val="0070649D"/>
    <w:rsid w:val="00707D6C"/>
    <w:rsid w:val="00713EAA"/>
    <w:rsid w:val="007142A8"/>
    <w:rsid w:val="00725A65"/>
    <w:rsid w:val="00740BF0"/>
    <w:rsid w:val="00740D43"/>
    <w:rsid w:val="00751FA0"/>
    <w:rsid w:val="00755125"/>
    <w:rsid w:val="00755B37"/>
    <w:rsid w:val="00761E16"/>
    <w:rsid w:val="00774871"/>
    <w:rsid w:val="00775108"/>
    <w:rsid w:val="00781D8D"/>
    <w:rsid w:val="00787F5F"/>
    <w:rsid w:val="00792831"/>
    <w:rsid w:val="007A4A1D"/>
    <w:rsid w:val="007B0EAD"/>
    <w:rsid w:val="007B1C44"/>
    <w:rsid w:val="007B23C1"/>
    <w:rsid w:val="007B4FF2"/>
    <w:rsid w:val="007C1721"/>
    <w:rsid w:val="007D080F"/>
    <w:rsid w:val="007D4312"/>
    <w:rsid w:val="007D4D67"/>
    <w:rsid w:val="007E0F09"/>
    <w:rsid w:val="007E323A"/>
    <w:rsid w:val="007E5096"/>
    <w:rsid w:val="007E5DE9"/>
    <w:rsid w:val="007F0EDA"/>
    <w:rsid w:val="008117D8"/>
    <w:rsid w:val="00825BAC"/>
    <w:rsid w:val="00826B50"/>
    <w:rsid w:val="00830DE7"/>
    <w:rsid w:val="008333AC"/>
    <w:rsid w:val="00834767"/>
    <w:rsid w:val="00837988"/>
    <w:rsid w:val="00850334"/>
    <w:rsid w:val="00852857"/>
    <w:rsid w:val="00854632"/>
    <w:rsid w:val="00856BBC"/>
    <w:rsid w:val="00857868"/>
    <w:rsid w:val="00865E95"/>
    <w:rsid w:val="00867705"/>
    <w:rsid w:val="00892D7C"/>
    <w:rsid w:val="00897483"/>
    <w:rsid w:val="008B477C"/>
    <w:rsid w:val="008B5463"/>
    <w:rsid w:val="008C6F9F"/>
    <w:rsid w:val="008D04D2"/>
    <w:rsid w:val="008D7865"/>
    <w:rsid w:val="008E042F"/>
    <w:rsid w:val="008E05EF"/>
    <w:rsid w:val="008F3F83"/>
    <w:rsid w:val="008F61D5"/>
    <w:rsid w:val="008F71C2"/>
    <w:rsid w:val="008F7E50"/>
    <w:rsid w:val="00900FC9"/>
    <w:rsid w:val="009045FA"/>
    <w:rsid w:val="009106E0"/>
    <w:rsid w:val="00911E3D"/>
    <w:rsid w:val="00914AFF"/>
    <w:rsid w:val="009221F4"/>
    <w:rsid w:val="00927C44"/>
    <w:rsid w:val="00944F2D"/>
    <w:rsid w:val="009561C3"/>
    <w:rsid w:val="0096060C"/>
    <w:rsid w:val="00961C35"/>
    <w:rsid w:val="00971D59"/>
    <w:rsid w:val="00981D1D"/>
    <w:rsid w:val="00982221"/>
    <w:rsid w:val="00984676"/>
    <w:rsid w:val="009870B6"/>
    <w:rsid w:val="009871AC"/>
    <w:rsid w:val="00996592"/>
    <w:rsid w:val="00996D54"/>
    <w:rsid w:val="00997DFE"/>
    <w:rsid w:val="009A25EE"/>
    <w:rsid w:val="009A7700"/>
    <w:rsid w:val="009B1E79"/>
    <w:rsid w:val="009B7707"/>
    <w:rsid w:val="009B7CB6"/>
    <w:rsid w:val="009C1128"/>
    <w:rsid w:val="009C1B31"/>
    <w:rsid w:val="009C1C8C"/>
    <w:rsid w:val="009C625C"/>
    <w:rsid w:val="009C7C5D"/>
    <w:rsid w:val="009D21C1"/>
    <w:rsid w:val="009D2A8E"/>
    <w:rsid w:val="009D3D39"/>
    <w:rsid w:val="009D4082"/>
    <w:rsid w:val="00A11750"/>
    <w:rsid w:val="00A16566"/>
    <w:rsid w:val="00A17878"/>
    <w:rsid w:val="00A17DBF"/>
    <w:rsid w:val="00A256E4"/>
    <w:rsid w:val="00A403B5"/>
    <w:rsid w:val="00A40CDD"/>
    <w:rsid w:val="00A41446"/>
    <w:rsid w:val="00A416A3"/>
    <w:rsid w:val="00A430F3"/>
    <w:rsid w:val="00A43D87"/>
    <w:rsid w:val="00A52621"/>
    <w:rsid w:val="00A64952"/>
    <w:rsid w:val="00A82449"/>
    <w:rsid w:val="00A85CEE"/>
    <w:rsid w:val="00A85F4B"/>
    <w:rsid w:val="00A875A9"/>
    <w:rsid w:val="00A90380"/>
    <w:rsid w:val="00A92752"/>
    <w:rsid w:val="00A93632"/>
    <w:rsid w:val="00A9430B"/>
    <w:rsid w:val="00A94411"/>
    <w:rsid w:val="00AA09D9"/>
    <w:rsid w:val="00AA4B7F"/>
    <w:rsid w:val="00AA68FA"/>
    <w:rsid w:val="00AC4B6F"/>
    <w:rsid w:val="00AD14AD"/>
    <w:rsid w:val="00AD22B0"/>
    <w:rsid w:val="00AD38C5"/>
    <w:rsid w:val="00AE3238"/>
    <w:rsid w:val="00AF44A6"/>
    <w:rsid w:val="00B00AE6"/>
    <w:rsid w:val="00B070F3"/>
    <w:rsid w:val="00B16FB6"/>
    <w:rsid w:val="00B20ABD"/>
    <w:rsid w:val="00B235D1"/>
    <w:rsid w:val="00B23F43"/>
    <w:rsid w:val="00B27E60"/>
    <w:rsid w:val="00B3324C"/>
    <w:rsid w:val="00B36E7A"/>
    <w:rsid w:val="00B43567"/>
    <w:rsid w:val="00B44329"/>
    <w:rsid w:val="00B458B2"/>
    <w:rsid w:val="00B45EB7"/>
    <w:rsid w:val="00B517A2"/>
    <w:rsid w:val="00B57E09"/>
    <w:rsid w:val="00B624B8"/>
    <w:rsid w:val="00B653EB"/>
    <w:rsid w:val="00B84B15"/>
    <w:rsid w:val="00B9185C"/>
    <w:rsid w:val="00BA623A"/>
    <w:rsid w:val="00BA668C"/>
    <w:rsid w:val="00BC08E6"/>
    <w:rsid w:val="00BC2E24"/>
    <w:rsid w:val="00BC5CD9"/>
    <w:rsid w:val="00BC6263"/>
    <w:rsid w:val="00BD051B"/>
    <w:rsid w:val="00BD0E3C"/>
    <w:rsid w:val="00BD7F4D"/>
    <w:rsid w:val="00BE0A59"/>
    <w:rsid w:val="00BE5A9B"/>
    <w:rsid w:val="00BF0BAB"/>
    <w:rsid w:val="00BF47D0"/>
    <w:rsid w:val="00BF7E99"/>
    <w:rsid w:val="00C0693F"/>
    <w:rsid w:val="00C13502"/>
    <w:rsid w:val="00C2514D"/>
    <w:rsid w:val="00C26D8E"/>
    <w:rsid w:val="00C26F35"/>
    <w:rsid w:val="00C37928"/>
    <w:rsid w:val="00C456D1"/>
    <w:rsid w:val="00C45B7D"/>
    <w:rsid w:val="00C5303C"/>
    <w:rsid w:val="00C57212"/>
    <w:rsid w:val="00C62637"/>
    <w:rsid w:val="00C75B10"/>
    <w:rsid w:val="00C7709E"/>
    <w:rsid w:val="00C8765C"/>
    <w:rsid w:val="00C9010D"/>
    <w:rsid w:val="00C903F3"/>
    <w:rsid w:val="00C9285D"/>
    <w:rsid w:val="00C928E2"/>
    <w:rsid w:val="00C936AA"/>
    <w:rsid w:val="00C945A0"/>
    <w:rsid w:val="00C977C2"/>
    <w:rsid w:val="00CA3B92"/>
    <w:rsid w:val="00CA4EC5"/>
    <w:rsid w:val="00CA5A4A"/>
    <w:rsid w:val="00CB342D"/>
    <w:rsid w:val="00CB3482"/>
    <w:rsid w:val="00CC022A"/>
    <w:rsid w:val="00CC4292"/>
    <w:rsid w:val="00CC6254"/>
    <w:rsid w:val="00CD1290"/>
    <w:rsid w:val="00CD6CB5"/>
    <w:rsid w:val="00CE6275"/>
    <w:rsid w:val="00CF5933"/>
    <w:rsid w:val="00CF73BE"/>
    <w:rsid w:val="00D079EF"/>
    <w:rsid w:val="00D123A1"/>
    <w:rsid w:val="00D1341C"/>
    <w:rsid w:val="00D16C5E"/>
    <w:rsid w:val="00D2172A"/>
    <w:rsid w:val="00D31F60"/>
    <w:rsid w:val="00D32413"/>
    <w:rsid w:val="00D33B75"/>
    <w:rsid w:val="00D33D54"/>
    <w:rsid w:val="00D5176A"/>
    <w:rsid w:val="00D52F2E"/>
    <w:rsid w:val="00D570C5"/>
    <w:rsid w:val="00D65896"/>
    <w:rsid w:val="00D73250"/>
    <w:rsid w:val="00D74829"/>
    <w:rsid w:val="00D83759"/>
    <w:rsid w:val="00DA1871"/>
    <w:rsid w:val="00DA33AF"/>
    <w:rsid w:val="00DB3B2E"/>
    <w:rsid w:val="00DB53B0"/>
    <w:rsid w:val="00DB5A17"/>
    <w:rsid w:val="00DB6DF8"/>
    <w:rsid w:val="00DC467C"/>
    <w:rsid w:val="00DD3D5B"/>
    <w:rsid w:val="00DE0508"/>
    <w:rsid w:val="00DE697D"/>
    <w:rsid w:val="00DF4D1A"/>
    <w:rsid w:val="00DF65DF"/>
    <w:rsid w:val="00DF78C3"/>
    <w:rsid w:val="00E15F7F"/>
    <w:rsid w:val="00E16248"/>
    <w:rsid w:val="00E27E23"/>
    <w:rsid w:val="00E32247"/>
    <w:rsid w:val="00E375AD"/>
    <w:rsid w:val="00E42C77"/>
    <w:rsid w:val="00E4428A"/>
    <w:rsid w:val="00E44989"/>
    <w:rsid w:val="00E44A9D"/>
    <w:rsid w:val="00E45772"/>
    <w:rsid w:val="00E4597C"/>
    <w:rsid w:val="00E47563"/>
    <w:rsid w:val="00E506E0"/>
    <w:rsid w:val="00E55166"/>
    <w:rsid w:val="00E56507"/>
    <w:rsid w:val="00E6128C"/>
    <w:rsid w:val="00E6374D"/>
    <w:rsid w:val="00E7139F"/>
    <w:rsid w:val="00E73277"/>
    <w:rsid w:val="00E800B7"/>
    <w:rsid w:val="00E80D3F"/>
    <w:rsid w:val="00E83B09"/>
    <w:rsid w:val="00E91151"/>
    <w:rsid w:val="00E94FDB"/>
    <w:rsid w:val="00EA5B36"/>
    <w:rsid w:val="00EB460D"/>
    <w:rsid w:val="00EB4892"/>
    <w:rsid w:val="00EC04F8"/>
    <w:rsid w:val="00ED5D52"/>
    <w:rsid w:val="00ED6275"/>
    <w:rsid w:val="00EE0BBB"/>
    <w:rsid w:val="00EE14CE"/>
    <w:rsid w:val="00EE1D5D"/>
    <w:rsid w:val="00EE4243"/>
    <w:rsid w:val="00F007DB"/>
    <w:rsid w:val="00F04945"/>
    <w:rsid w:val="00F10ECF"/>
    <w:rsid w:val="00F15489"/>
    <w:rsid w:val="00F22D84"/>
    <w:rsid w:val="00F25CC5"/>
    <w:rsid w:val="00F26AD9"/>
    <w:rsid w:val="00F33741"/>
    <w:rsid w:val="00F355F9"/>
    <w:rsid w:val="00F359CE"/>
    <w:rsid w:val="00F444F6"/>
    <w:rsid w:val="00F45499"/>
    <w:rsid w:val="00F46EFC"/>
    <w:rsid w:val="00F5284F"/>
    <w:rsid w:val="00F54727"/>
    <w:rsid w:val="00F55DAC"/>
    <w:rsid w:val="00F66CE1"/>
    <w:rsid w:val="00F73B7F"/>
    <w:rsid w:val="00F74AC7"/>
    <w:rsid w:val="00F81736"/>
    <w:rsid w:val="00F8399F"/>
    <w:rsid w:val="00F8614A"/>
    <w:rsid w:val="00FA169A"/>
    <w:rsid w:val="00FA4911"/>
    <w:rsid w:val="00FB04C2"/>
    <w:rsid w:val="00FC45DE"/>
    <w:rsid w:val="00FD0203"/>
    <w:rsid w:val="00FD1180"/>
    <w:rsid w:val="00FD1B87"/>
    <w:rsid w:val="00FD7412"/>
    <w:rsid w:val="00FE1BA4"/>
    <w:rsid w:val="00FF2959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1E331"/>
  <w15:docId w15:val="{CF8352E1-77B0-465E-B8BE-BECFF12B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748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AD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84947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5725D322BA404980D07692A162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6DD9-65F5-47A9-AB2A-6CC0CB067D9A}"/>
      </w:docPartPr>
      <w:docPartBody>
        <w:p w:rsidR="00DE640A" w:rsidRDefault="00DE640A">
          <w:pPr>
            <w:pStyle w:val="6D5725D322BA404980D07692A1627D96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14FE649119BD4829BCDF4D1242F0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30EB-BD7A-466E-BAC6-36C3AE545C52}"/>
      </w:docPartPr>
      <w:docPartBody>
        <w:p w:rsidR="00DE640A" w:rsidRDefault="00DE640A">
          <w:pPr>
            <w:pStyle w:val="14FE649119BD4829BCDF4D1242F0A158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6A0CA87A2DCE424ABD65B4754A1F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8AE1-B868-4EFF-AD0B-59E48A5F6125}"/>
      </w:docPartPr>
      <w:docPartBody>
        <w:p w:rsidR="00DE640A" w:rsidRDefault="00DE640A">
          <w:pPr>
            <w:pStyle w:val="6A0CA87A2DCE424ABD65B4754A1FAAA3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40A"/>
    <w:rsid w:val="0088220C"/>
    <w:rsid w:val="00D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6D5725D322BA404980D07692A1627D96">
    <w:name w:val="6D5725D322BA404980D07692A1627D96"/>
  </w:style>
  <w:style w:type="paragraph" w:customStyle="1" w:styleId="14FE649119BD4829BCDF4D1242F0A158">
    <w:name w:val="14FE649119BD4829BCDF4D1242F0A158"/>
  </w:style>
  <w:style w:type="paragraph" w:customStyle="1" w:styleId="6A0CA87A2DCE424ABD65B4754A1FAAA3">
    <w:name w:val="6A0CA87A2DCE424ABD65B4754A1FA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898736-3B1C-4F29-B669-F83023EFAB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724EC8-E72D-43DA-9DF0-317946A6F235}"/>
</file>

<file path=customXml/itemProps3.xml><?xml version="1.0" encoding="utf-8"?>
<ds:datastoreItem xmlns:ds="http://schemas.openxmlformats.org/officeDocument/2006/customXml" ds:itemID="{0C8B69FA-1E9A-4D93-942E-2F83076D1B0A}"/>
</file>

<file path=customXml/itemProps4.xml><?xml version="1.0" encoding="utf-8"?>
<ds:datastoreItem xmlns:ds="http://schemas.openxmlformats.org/officeDocument/2006/customXml" ds:itemID="{7B2C962A-D93A-44E3-AEF8-F2988BD00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633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 Mass Compensation Processing</vt:lpstr>
    </vt:vector>
  </TitlesOfParts>
  <Company>Office of Administration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Mass Compensation Processing</dc:title>
  <dc:subject>Information regarding the schedule for the January 2019 mass compensation processing.</dc:subject>
  <dc:creator>Rummel, Jordan</dc:creator>
  <cp:keywords>Description, Keywords, Operations, Personnel Administration</cp:keywords>
  <cp:lastModifiedBy>Reichert-Wise, Kathy</cp:lastModifiedBy>
  <cp:revision>86</cp:revision>
  <cp:lastPrinted>2011-02-25T13:44:00Z</cp:lastPrinted>
  <dcterms:created xsi:type="dcterms:W3CDTF">2018-10-01T18:02:00Z</dcterms:created>
  <dcterms:modified xsi:type="dcterms:W3CDTF">2018-12-21T19:21:00Z</dcterms:modified>
  <cp:category>Personnel Administration Alert</cp:category>
  <cp:contentStatus>2018-10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