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5F3A8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57A14135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54175F">
        <w:rPr>
          <w:rFonts w:ascii="Verdana" w:hAnsi="Verdana" w:cs="Verdana"/>
          <w:b/>
          <w:bCs/>
          <w:i/>
          <w:iCs/>
          <w:sz w:val="20"/>
          <w:szCs w:val="20"/>
        </w:rPr>
        <w:t xml:space="preserve"> pay increase information.</w:t>
      </w:r>
    </w:p>
    <w:p w14:paraId="604F6B8A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1DD6C7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69606B1" w14:textId="0DE5FBEB" w:rsidR="00377242" w:rsidRPr="009C625C" w:rsidRDefault="00D71AEF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C58111043D684EC496A4EFA0549BB7D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Verdana" w:hAnsi="Verdana" w:cs="Verdana"/>
              <w:b/>
              <w:sz w:val="20"/>
              <w:szCs w:val="20"/>
            </w:rPr>
            <w:t>January 2017 mass compensation processing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448B6D65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3F0A544" w14:textId="77777777" w:rsidR="00377242" w:rsidRPr="009C625C" w:rsidRDefault="00D71AEF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C0760772D2AC4624B5A4CCDE23A10D2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27DFA">
            <w:rPr>
              <w:rFonts w:ascii="Verdana" w:hAnsi="Verdana" w:cs="Verdana"/>
              <w:sz w:val="20"/>
              <w:szCs w:val="20"/>
            </w:rPr>
            <w:t>Information regarding the schedule for the January 2017 mass compensation processing.</w:t>
          </w:r>
        </w:sdtContent>
      </w:sdt>
    </w:p>
    <w:p w14:paraId="3200F8EC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6A5A39B1" w14:textId="77777777" w:rsidR="00377242" w:rsidRPr="0054175F" w:rsidRDefault="0054175F" w:rsidP="00E56507">
      <w:pPr>
        <w:rPr>
          <w:rFonts w:ascii="Verdana" w:hAnsi="Verdana" w:cs="Verdana"/>
          <w:b/>
          <w:sz w:val="20"/>
          <w:szCs w:val="20"/>
          <w:u w:val="single"/>
        </w:rPr>
      </w:pPr>
      <w:r w:rsidRPr="0054175F">
        <w:rPr>
          <w:rFonts w:ascii="Verdana" w:hAnsi="Verdana" w:cs="Verdana"/>
          <w:b/>
          <w:sz w:val="20"/>
          <w:szCs w:val="20"/>
          <w:u w:val="single"/>
        </w:rPr>
        <w:t>General Pay Increases</w:t>
      </w:r>
    </w:p>
    <w:p w14:paraId="226431D7" w14:textId="77777777" w:rsidR="00685856" w:rsidRDefault="00942EF4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General Pay Increases, e</w:t>
      </w:r>
      <w:r w:rsidR="0054175F">
        <w:rPr>
          <w:rFonts w:ascii="Verdana" w:hAnsi="Verdana" w:cs="Verdana"/>
          <w:sz w:val="20"/>
          <w:szCs w:val="20"/>
        </w:rPr>
        <w:t>ffective January 1, 2017, will process for eligible employees according to the following schedule:</w:t>
      </w:r>
    </w:p>
    <w:p w14:paraId="78D8C637" w14:textId="77777777" w:rsidR="0054175F" w:rsidRDefault="0054175F" w:rsidP="00E56507">
      <w:pPr>
        <w:rPr>
          <w:rFonts w:ascii="Verdana" w:hAnsi="Verdana" w:cs="Verdana"/>
          <w:sz w:val="20"/>
          <w:szCs w:val="20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080"/>
        <w:gridCol w:w="1530"/>
        <w:gridCol w:w="1440"/>
        <w:gridCol w:w="1440"/>
      </w:tblGrid>
      <w:tr w:rsidR="004657C4" w:rsidRPr="00137538" w14:paraId="31229AC8" w14:textId="77777777" w:rsidTr="00FA5304">
        <w:trPr>
          <w:trHeight w:val="227"/>
        </w:trPr>
        <w:tc>
          <w:tcPr>
            <w:tcW w:w="4140" w:type="dxa"/>
            <w:shd w:val="clear" w:color="auto" w:fill="auto"/>
          </w:tcPr>
          <w:p w14:paraId="2F392644" w14:textId="77777777" w:rsidR="004657C4" w:rsidRPr="00137538" w:rsidRDefault="004657C4" w:rsidP="00FC2686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Contract Name &amp; Bargaining Units</w:t>
            </w:r>
          </w:p>
        </w:tc>
        <w:tc>
          <w:tcPr>
            <w:tcW w:w="1080" w:type="dxa"/>
            <w:shd w:val="clear" w:color="auto" w:fill="auto"/>
          </w:tcPr>
          <w:p w14:paraId="3E7DC2F7" w14:textId="77777777" w:rsidR="004657C4" w:rsidRPr="00137538" w:rsidRDefault="004657C4" w:rsidP="00FC268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Scale</w:t>
            </w:r>
          </w:p>
        </w:tc>
        <w:tc>
          <w:tcPr>
            <w:tcW w:w="1530" w:type="dxa"/>
          </w:tcPr>
          <w:p w14:paraId="79AD4369" w14:textId="77777777" w:rsidR="004657C4" w:rsidRPr="00137538" w:rsidRDefault="004657C4" w:rsidP="00FC268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Percentage Increase</w:t>
            </w:r>
          </w:p>
        </w:tc>
        <w:tc>
          <w:tcPr>
            <w:tcW w:w="1440" w:type="dxa"/>
          </w:tcPr>
          <w:p w14:paraId="07001081" w14:textId="77777777" w:rsidR="004657C4" w:rsidRPr="00137538" w:rsidRDefault="004657C4" w:rsidP="00FC268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Processing Date(s)</w:t>
            </w:r>
          </w:p>
        </w:tc>
        <w:tc>
          <w:tcPr>
            <w:tcW w:w="1440" w:type="dxa"/>
          </w:tcPr>
          <w:p w14:paraId="2885D3FF" w14:textId="77777777" w:rsidR="004657C4" w:rsidRPr="00137538" w:rsidRDefault="004657C4" w:rsidP="00FC268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Date(s)</w:t>
            </w:r>
          </w:p>
        </w:tc>
      </w:tr>
      <w:tr w:rsidR="004657C4" w:rsidRPr="00137538" w14:paraId="70B1033F" w14:textId="77777777" w:rsidTr="00FA5304">
        <w:trPr>
          <w:trHeight w:val="584"/>
        </w:trPr>
        <w:tc>
          <w:tcPr>
            <w:tcW w:w="4140" w:type="dxa"/>
            <w:shd w:val="clear" w:color="auto" w:fill="auto"/>
            <w:vAlign w:val="center"/>
          </w:tcPr>
          <w:p w14:paraId="1798A687" w14:textId="77777777" w:rsidR="004657C4" w:rsidRPr="00137538" w:rsidRDefault="004657C4" w:rsidP="00FC268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PSCOA (H1)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39418A" w14:textId="77777777" w:rsidR="004657C4" w:rsidRPr="00137538" w:rsidRDefault="004657C4" w:rsidP="00FC268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</w:t>
            </w:r>
          </w:p>
        </w:tc>
        <w:tc>
          <w:tcPr>
            <w:tcW w:w="1530" w:type="dxa"/>
            <w:vAlign w:val="center"/>
          </w:tcPr>
          <w:p w14:paraId="6D942352" w14:textId="77777777" w:rsidR="004657C4" w:rsidRPr="0054175F" w:rsidRDefault="004657C4" w:rsidP="00FC268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54175F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.00</w:t>
            </w:r>
            <w:r w:rsidRPr="0054175F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440" w:type="dxa"/>
            <w:vMerge w:val="restart"/>
            <w:vAlign w:val="center"/>
          </w:tcPr>
          <w:p w14:paraId="671BF8F9" w14:textId="77777777" w:rsidR="004657C4" w:rsidRPr="00137538" w:rsidRDefault="004657C4" w:rsidP="00FC268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Z1/Z2/Z3</w:t>
            </w:r>
          </w:p>
          <w:p w14:paraId="372B4FC9" w14:textId="77777777" w:rsidR="004657C4" w:rsidRPr="00137538" w:rsidRDefault="004657C4" w:rsidP="00FC268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12/23/2016</w:t>
            </w:r>
          </w:p>
        </w:tc>
        <w:tc>
          <w:tcPr>
            <w:tcW w:w="1440" w:type="dxa"/>
            <w:vMerge w:val="restart"/>
            <w:vAlign w:val="center"/>
          </w:tcPr>
          <w:p w14:paraId="13A09801" w14:textId="77777777" w:rsidR="004657C4" w:rsidRPr="00137538" w:rsidRDefault="004657C4" w:rsidP="00FC268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Z1</w:t>
            </w:r>
          </w:p>
          <w:p w14:paraId="12F42ADE" w14:textId="77777777" w:rsidR="004657C4" w:rsidRDefault="004657C4" w:rsidP="00FC268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01/27/2017</w:t>
            </w:r>
          </w:p>
          <w:p w14:paraId="3C1D4B95" w14:textId="77777777" w:rsidR="004657C4" w:rsidRDefault="004657C4" w:rsidP="00FC268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AE9712A" w14:textId="77777777" w:rsidR="004657C4" w:rsidRPr="00E46C7B" w:rsidRDefault="004657C4" w:rsidP="00FC268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6C7B">
              <w:rPr>
                <w:rFonts w:ascii="Verdana" w:hAnsi="Verdana"/>
                <w:b/>
                <w:sz w:val="20"/>
                <w:szCs w:val="20"/>
              </w:rPr>
              <w:t>Z2</w:t>
            </w:r>
          </w:p>
          <w:p w14:paraId="78A73085" w14:textId="77777777" w:rsidR="004657C4" w:rsidRDefault="004657C4" w:rsidP="00E46C7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01/27/2017</w:t>
            </w:r>
          </w:p>
          <w:p w14:paraId="40FD5D78" w14:textId="77777777" w:rsidR="004657C4" w:rsidRPr="00137538" w:rsidRDefault="004657C4" w:rsidP="00FC268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2F7A7DF" w14:textId="77777777" w:rsidR="004657C4" w:rsidRPr="00137538" w:rsidRDefault="004657C4" w:rsidP="00FC268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Z3</w:t>
            </w:r>
          </w:p>
          <w:p w14:paraId="01F009B5" w14:textId="77777777" w:rsidR="004657C4" w:rsidRPr="00137538" w:rsidRDefault="004657C4" w:rsidP="00FC268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01/20/2017</w:t>
            </w:r>
          </w:p>
        </w:tc>
      </w:tr>
      <w:tr w:rsidR="004657C4" w:rsidRPr="00137538" w14:paraId="06464890" w14:textId="77777777" w:rsidTr="00FA5304">
        <w:trPr>
          <w:trHeight w:val="629"/>
        </w:trPr>
        <w:tc>
          <w:tcPr>
            <w:tcW w:w="4140" w:type="dxa"/>
            <w:shd w:val="clear" w:color="auto" w:fill="auto"/>
            <w:vAlign w:val="center"/>
          </w:tcPr>
          <w:p w14:paraId="51D68551" w14:textId="77777777" w:rsidR="004657C4" w:rsidRPr="00137538" w:rsidRDefault="004657C4" w:rsidP="00FC268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AFSCME - Corrections Supervisory (A2, J2, N2)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C567E4" w14:textId="77777777" w:rsidR="004657C4" w:rsidRPr="00137538" w:rsidRDefault="004657C4" w:rsidP="00FC268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</w:t>
            </w:r>
          </w:p>
        </w:tc>
        <w:tc>
          <w:tcPr>
            <w:tcW w:w="1530" w:type="dxa"/>
            <w:vAlign w:val="center"/>
          </w:tcPr>
          <w:p w14:paraId="092F6C26" w14:textId="77777777" w:rsidR="004657C4" w:rsidRPr="0054175F" w:rsidRDefault="004657C4" w:rsidP="00FC268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54175F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.00</w:t>
            </w:r>
            <w:r w:rsidRPr="0054175F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440" w:type="dxa"/>
            <w:vMerge/>
            <w:vAlign w:val="center"/>
          </w:tcPr>
          <w:p w14:paraId="7B54AADE" w14:textId="77777777" w:rsidR="004657C4" w:rsidRPr="00137538" w:rsidRDefault="004657C4" w:rsidP="00FC268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A2C0845" w14:textId="77777777" w:rsidR="004657C4" w:rsidRPr="00137538" w:rsidRDefault="004657C4" w:rsidP="00FC268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57C4" w:rsidRPr="00137538" w14:paraId="1D639C0C" w14:textId="77777777" w:rsidTr="00FA5304">
        <w:trPr>
          <w:trHeight w:val="227"/>
        </w:trPr>
        <w:tc>
          <w:tcPr>
            <w:tcW w:w="4140" w:type="dxa"/>
            <w:shd w:val="clear" w:color="auto" w:fill="auto"/>
            <w:vAlign w:val="center"/>
          </w:tcPr>
          <w:p w14:paraId="515A7BC7" w14:textId="77777777" w:rsidR="004657C4" w:rsidRPr="00137538" w:rsidRDefault="004657C4" w:rsidP="00FC268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Corrections Management (F3, H3, J3, N3)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4B555E" w14:textId="77777777" w:rsidR="004657C4" w:rsidRPr="00137538" w:rsidRDefault="004657C4" w:rsidP="00FC268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CM</w:t>
            </w:r>
          </w:p>
        </w:tc>
        <w:tc>
          <w:tcPr>
            <w:tcW w:w="1530" w:type="dxa"/>
            <w:vAlign w:val="center"/>
          </w:tcPr>
          <w:p w14:paraId="4016A2FB" w14:textId="77777777" w:rsidR="004657C4" w:rsidRPr="0054175F" w:rsidRDefault="004657C4" w:rsidP="00FC268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54175F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.00</w:t>
            </w:r>
            <w:r w:rsidRPr="0054175F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440" w:type="dxa"/>
            <w:vMerge/>
            <w:vAlign w:val="center"/>
          </w:tcPr>
          <w:p w14:paraId="3F775AFD" w14:textId="77777777" w:rsidR="004657C4" w:rsidRPr="00137538" w:rsidRDefault="004657C4" w:rsidP="00FC268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60EA73A6" w14:textId="77777777" w:rsidR="004657C4" w:rsidRPr="00137538" w:rsidRDefault="004657C4" w:rsidP="00FC268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1662BB0" w14:textId="77777777" w:rsidR="0054175F" w:rsidRDefault="0054175F" w:rsidP="00E56507">
      <w:pPr>
        <w:rPr>
          <w:rFonts w:ascii="Verdana" w:hAnsi="Verdana" w:cs="Verdana"/>
          <w:sz w:val="20"/>
          <w:szCs w:val="20"/>
        </w:rPr>
      </w:pPr>
    </w:p>
    <w:p w14:paraId="17A6C2AD" w14:textId="77777777" w:rsidR="00A34D78" w:rsidRDefault="00A34D78" w:rsidP="00E56507">
      <w:pPr>
        <w:rPr>
          <w:rFonts w:ascii="Verdana" w:hAnsi="Verdana" w:cs="Verdana"/>
          <w:b/>
          <w:sz w:val="20"/>
          <w:szCs w:val="20"/>
          <w:u w:val="single"/>
        </w:rPr>
      </w:pPr>
      <w:r w:rsidRPr="00137538">
        <w:rPr>
          <w:rFonts w:ascii="Verdana" w:hAnsi="Verdana" w:cs="Verdana"/>
          <w:b/>
          <w:sz w:val="20"/>
          <w:szCs w:val="20"/>
          <w:u w:val="single"/>
        </w:rPr>
        <w:t>Longevity/Annual Increments</w:t>
      </w:r>
    </w:p>
    <w:p w14:paraId="7387221D" w14:textId="77777777" w:rsidR="00AC3439" w:rsidRDefault="00942EF4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</w:t>
      </w:r>
      <w:r w:rsidR="00AC3439">
        <w:rPr>
          <w:rFonts w:ascii="Verdana" w:hAnsi="Verdana" w:cs="Verdana"/>
          <w:sz w:val="20"/>
          <w:szCs w:val="20"/>
        </w:rPr>
        <w:t>ongevity increme</w:t>
      </w:r>
      <w:r>
        <w:rPr>
          <w:rFonts w:ascii="Verdana" w:hAnsi="Verdana" w:cs="Verdana"/>
          <w:sz w:val="20"/>
          <w:szCs w:val="20"/>
        </w:rPr>
        <w:t xml:space="preserve">nts and longevity cash payments, effective January 1, 2017, </w:t>
      </w:r>
      <w:r w:rsidR="00AC3439">
        <w:rPr>
          <w:rFonts w:ascii="Verdana" w:hAnsi="Verdana" w:cs="Verdana"/>
          <w:sz w:val="20"/>
          <w:szCs w:val="20"/>
        </w:rPr>
        <w:t xml:space="preserve">will process for eligible employees on the </w:t>
      </w:r>
      <w:r w:rsidR="00AC3439" w:rsidRPr="00D71AEF">
        <w:rPr>
          <w:rFonts w:ascii="Verdana" w:hAnsi="Verdana" w:cs="Verdana"/>
          <w:b/>
          <w:sz w:val="20"/>
          <w:szCs w:val="20"/>
        </w:rPr>
        <w:t>Corrections Management (CM)</w:t>
      </w:r>
      <w:r w:rsidR="006C7DF5">
        <w:rPr>
          <w:rFonts w:ascii="Verdana" w:hAnsi="Verdana" w:cs="Verdana"/>
          <w:sz w:val="20"/>
          <w:szCs w:val="20"/>
        </w:rPr>
        <w:t xml:space="preserve"> Pay Scale</w:t>
      </w:r>
      <w:r w:rsidR="00AC3439">
        <w:rPr>
          <w:rFonts w:ascii="Verdana" w:hAnsi="Verdana" w:cs="Verdana"/>
          <w:sz w:val="20"/>
          <w:szCs w:val="20"/>
        </w:rPr>
        <w:t xml:space="preserve"> </w:t>
      </w:r>
      <w:r w:rsidR="001541CF">
        <w:rPr>
          <w:rFonts w:ascii="Verdana" w:hAnsi="Verdana" w:cs="Verdana"/>
          <w:sz w:val="20"/>
          <w:szCs w:val="20"/>
        </w:rPr>
        <w:t xml:space="preserve">according to the </w:t>
      </w:r>
      <w:r w:rsidR="00AC3439">
        <w:rPr>
          <w:rFonts w:ascii="Verdana" w:hAnsi="Verdana" w:cs="Verdana"/>
          <w:sz w:val="20"/>
          <w:szCs w:val="20"/>
        </w:rPr>
        <w:t xml:space="preserve">following </w:t>
      </w:r>
      <w:r w:rsidR="00823FA0">
        <w:rPr>
          <w:rFonts w:ascii="Verdana" w:hAnsi="Verdana" w:cs="Verdana"/>
          <w:sz w:val="20"/>
          <w:szCs w:val="20"/>
        </w:rPr>
        <w:t>schedule:</w:t>
      </w:r>
    </w:p>
    <w:p w14:paraId="2234A660" w14:textId="77777777" w:rsidR="00AC3439" w:rsidRDefault="00AC3439" w:rsidP="00E56507">
      <w:pPr>
        <w:rPr>
          <w:rFonts w:ascii="Verdana" w:hAnsi="Verdana" w:cs="Verdana"/>
          <w:sz w:val="20"/>
          <w:szCs w:val="20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310"/>
        <w:gridCol w:w="1440"/>
        <w:gridCol w:w="1440"/>
      </w:tblGrid>
      <w:tr w:rsidR="00942EF4" w:rsidRPr="00137538" w14:paraId="1836C928" w14:textId="77777777" w:rsidTr="00942EF4">
        <w:trPr>
          <w:trHeight w:val="227"/>
        </w:trPr>
        <w:tc>
          <w:tcPr>
            <w:tcW w:w="1440" w:type="dxa"/>
            <w:shd w:val="clear" w:color="auto" w:fill="auto"/>
          </w:tcPr>
          <w:p w14:paraId="58DF83D2" w14:textId="77777777" w:rsidR="00942EF4" w:rsidRPr="00137538" w:rsidRDefault="00942EF4" w:rsidP="0017092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Pay Scale Groups</w:t>
            </w:r>
          </w:p>
        </w:tc>
        <w:tc>
          <w:tcPr>
            <w:tcW w:w="5310" w:type="dxa"/>
          </w:tcPr>
          <w:p w14:paraId="11D0EC0E" w14:textId="77777777" w:rsidR="00942EF4" w:rsidRPr="00137538" w:rsidRDefault="00942EF4" w:rsidP="0017092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Eligibility Criteria </w:t>
            </w:r>
          </w:p>
        </w:tc>
        <w:tc>
          <w:tcPr>
            <w:tcW w:w="1440" w:type="dxa"/>
          </w:tcPr>
          <w:p w14:paraId="16FC839F" w14:textId="77777777" w:rsidR="00942EF4" w:rsidRPr="00137538" w:rsidRDefault="00942EF4" w:rsidP="0017092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Processing Date(s)</w:t>
            </w:r>
          </w:p>
        </w:tc>
        <w:tc>
          <w:tcPr>
            <w:tcW w:w="1440" w:type="dxa"/>
          </w:tcPr>
          <w:p w14:paraId="70521684" w14:textId="77777777" w:rsidR="00942EF4" w:rsidRPr="00137538" w:rsidRDefault="00942EF4" w:rsidP="0017092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Date(s)</w:t>
            </w:r>
          </w:p>
        </w:tc>
      </w:tr>
      <w:tr w:rsidR="00942EF4" w:rsidRPr="00137538" w14:paraId="4CD43DF7" w14:textId="77777777" w:rsidTr="00942EF4">
        <w:trPr>
          <w:trHeight w:val="899"/>
        </w:trPr>
        <w:tc>
          <w:tcPr>
            <w:tcW w:w="1440" w:type="dxa"/>
            <w:shd w:val="clear" w:color="auto" w:fill="auto"/>
            <w:vAlign w:val="center"/>
          </w:tcPr>
          <w:p w14:paraId="08CFB91C" w14:textId="77777777" w:rsidR="00942EF4" w:rsidRPr="00137538" w:rsidRDefault="00942EF4" w:rsidP="0017092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CM02-CM08</w:t>
            </w:r>
          </w:p>
        </w:tc>
        <w:tc>
          <w:tcPr>
            <w:tcW w:w="5310" w:type="dxa"/>
          </w:tcPr>
          <w:p w14:paraId="23FD15C8" w14:textId="77777777" w:rsidR="00942EF4" w:rsidRPr="00942EF4" w:rsidRDefault="00942EF4" w:rsidP="00942EF4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942EF4">
              <w:rPr>
                <w:rFonts w:ascii="Verdana" w:hAnsi="Verdana" w:cs="Verdana"/>
                <w:sz w:val="20"/>
                <w:szCs w:val="20"/>
              </w:rPr>
              <w:t xml:space="preserve">Employees who have been employed continuously since January 31, 2016 and will achieve the years of service associated with the next </w:t>
            </w:r>
            <w:r w:rsidR="008A3241">
              <w:rPr>
                <w:rFonts w:ascii="Verdana" w:hAnsi="Verdana" w:cs="Verdana"/>
                <w:sz w:val="20"/>
                <w:szCs w:val="20"/>
              </w:rPr>
              <w:t>higher pay step by June 30, 2017 will be eligible to receive a one-step longevity increment.</w:t>
            </w:r>
          </w:p>
          <w:p w14:paraId="3F394C62" w14:textId="77777777" w:rsidR="00942EF4" w:rsidRPr="00942EF4" w:rsidRDefault="00942EF4" w:rsidP="00942EF4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14342452" w14:textId="77777777" w:rsidR="00942EF4" w:rsidRDefault="00942EF4" w:rsidP="00942EF4">
            <w:pPr>
              <w:rPr>
                <w:rFonts w:ascii="Verdana" w:hAnsi="Verdana" w:cs="Verdana"/>
                <w:sz w:val="20"/>
                <w:szCs w:val="20"/>
              </w:rPr>
            </w:pPr>
            <w:r w:rsidRPr="00942EF4">
              <w:rPr>
                <w:rFonts w:ascii="Verdana" w:hAnsi="Verdana" w:cs="Verdana"/>
                <w:sz w:val="20"/>
                <w:szCs w:val="20"/>
              </w:rPr>
              <w:t>Employees are not eligible for cash payments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14:paraId="2F6213AA" w14:textId="77777777" w:rsidR="00942EF4" w:rsidRPr="00942EF4" w:rsidRDefault="00942EF4" w:rsidP="00942EF4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60992B3C" w14:textId="77777777" w:rsidR="00942EF4" w:rsidRPr="00137538" w:rsidRDefault="00942EF4" w:rsidP="0017092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Z1</w:t>
            </w:r>
          </w:p>
          <w:p w14:paraId="6F1C8BC3" w14:textId="77777777" w:rsidR="00942EF4" w:rsidRPr="00137538" w:rsidRDefault="00942EF4" w:rsidP="0017092A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12/22/2016</w:t>
            </w:r>
          </w:p>
        </w:tc>
        <w:tc>
          <w:tcPr>
            <w:tcW w:w="1440" w:type="dxa"/>
            <w:vMerge w:val="restart"/>
            <w:vAlign w:val="center"/>
          </w:tcPr>
          <w:p w14:paraId="352AB86B" w14:textId="77777777" w:rsidR="00942EF4" w:rsidRPr="00137538" w:rsidRDefault="00942EF4" w:rsidP="0017092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Z1</w:t>
            </w:r>
          </w:p>
          <w:p w14:paraId="42F1AF05" w14:textId="77777777" w:rsidR="00942EF4" w:rsidRPr="00137538" w:rsidRDefault="00942EF4" w:rsidP="00942E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01/27/2017</w:t>
            </w:r>
          </w:p>
        </w:tc>
      </w:tr>
      <w:tr w:rsidR="00942EF4" w:rsidRPr="00137538" w14:paraId="1F63F562" w14:textId="77777777" w:rsidTr="00942EF4">
        <w:trPr>
          <w:trHeight w:val="1061"/>
        </w:trPr>
        <w:tc>
          <w:tcPr>
            <w:tcW w:w="1440" w:type="dxa"/>
            <w:shd w:val="clear" w:color="auto" w:fill="auto"/>
            <w:vAlign w:val="center"/>
          </w:tcPr>
          <w:p w14:paraId="0559FCD5" w14:textId="77777777" w:rsidR="00942EF4" w:rsidRPr="00137538" w:rsidRDefault="00942EF4" w:rsidP="0017092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CM09-CM15</w:t>
            </w:r>
          </w:p>
        </w:tc>
        <w:tc>
          <w:tcPr>
            <w:tcW w:w="5310" w:type="dxa"/>
          </w:tcPr>
          <w:p w14:paraId="68453185" w14:textId="77777777" w:rsidR="00942EF4" w:rsidRDefault="00942EF4" w:rsidP="00942EF4">
            <w:pPr>
              <w:rPr>
                <w:rFonts w:ascii="Verdana" w:hAnsi="Verdana" w:cs="Verdana"/>
                <w:sz w:val="20"/>
                <w:szCs w:val="20"/>
              </w:rPr>
            </w:pPr>
            <w:r w:rsidRPr="00942EF4">
              <w:rPr>
                <w:rFonts w:ascii="Verdana" w:hAnsi="Verdana" w:cs="Verdana"/>
                <w:sz w:val="20"/>
                <w:szCs w:val="20"/>
              </w:rPr>
              <w:t>Employees who have been employed continuously since January 31, 2016 will be eligible to receive a one-step longevity increment.</w:t>
            </w:r>
          </w:p>
          <w:p w14:paraId="4189B9B8" w14:textId="77777777" w:rsidR="00942EF4" w:rsidRPr="00942EF4" w:rsidRDefault="00942EF4" w:rsidP="00942EF4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BA6B217" w14:textId="77777777" w:rsidR="00942EF4" w:rsidRDefault="00942EF4" w:rsidP="00942EF4">
            <w:pPr>
              <w:pStyle w:val="NoSpacing"/>
              <w:rPr>
                <w:rFonts w:ascii="Verdana" w:hAnsi="Verdana" w:cs="Verdana"/>
                <w:sz w:val="20"/>
                <w:szCs w:val="20"/>
              </w:rPr>
            </w:pPr>
            <w:r w:rsidRPr="00942EF4">
              <w:rPr>
                <w:rFonts w:ascii="Verdana" w:hAnsi="Verdana" w:cs="Verdana"/>
                <w:sz w:val="20"/>
                <w:szCs w:val="20"/>
              </w:rPr>
              <w:t xml:space="preserve">Employees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who meet the above criteria and are </w:t>
            </w:r>
            <w:r w:rsidRPr="00942EF4">
              <w:rPr>
                <w:rFonts w:ascii="Verdana" w:hAnsi="Verdana" w:cs="Verdana"/>
                <w:sz w:val="20"/>
                <w:szCs w:val="20"/>
              </w:rPr>
              <w:t xml:space="preserve">at or above max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for their applicable pay group </w:t>
            </w:r>
            <w:r w:rsidRPr="00942EF4">
              <w:rPr>
                <w:rFonts w:ascii="Verdana" w:hAnsi="Verdana" w:cs="Verdana"/>
                <w:sz w:val="20"/>
                <w:szCs w:val="20"/>
              </w:rPr>
              <w:t>will receive cash payment of 2.5</w:t>
            </w:r>
            <w:r w:rsidR="00AD493F">
              <w:rPr>
                <w:rFonts w:ascii="Verdana" w:hAnsi="Verdana" w:cs="Verdana"/>
                <w:sz w:val="20"/>
                <w:szCs w:val="20"/>
              </w:rPr>
              <w:t>0</w:t>
            </w:r>
            <w:r w:rsidRPr="00942EF4">
              <w:rPr>
                <w:rFonts w:ascii="Verdana" w:hAnsi="Verdana" w:cs="Verdana"/>
                <w:sz w:val="20"/>
                <w:szCs w:val="20"/>
              </w:rPr>
              <w:t>% of their annual salary in effect on 12/31/2016.</w:t>
            </w:r>
          </w:p>
          <w:p w14:paraId="250B0BED" w14:textId="77777777" w:rsidR="00942EF4" w:rsidRPr="00942EF4" w:rsidRDefault="00942EF4" w:rsidP="00942EF4">
            <w:pPr>
              <w:pStyle w:val="NoSpacing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33D54855" w14:textId="77777777" w:rsidR="00942EF4" w:rsidRPr="00137538" w:rsidRDefault="00942EF4" w:rsidP="0017092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1844B86D" w14:textId="77777777" w:rsidR="00942EF4" w:rsidRPr="00137538" w:rsidRDefault="00942EF4" w:rsidP="0017092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8C96487" w14:textId="77777777" w:rsidR="00794B13" w:rsidRDefault="00794B13" w:rsidP="00E81E66">
      <w:pPr>
        <w:rPr>
          <w:rFonts w:ascii="Verdana" w:hAnsi="Verdana" w:cs="Verdana"/>
          <w:sz w:val="20"/>
          <w:szCs w:val="20"/>
        </w:rPr>
      </w:pPr>
    </w:p>
    <w:p w14:paraId="41226429" w14:textId="77777777" w:rsidR="00E81E66" w:rsidRPr="00137538" w:rsidRDefault="00E81E66" w:rsidP="00E81E66">
      <w:pPr>
        <w:rPr>
          <w:rFonts w:ascii="Verdana" w:hAnsi="Verdana" w:cs="Verdana"/>
          <w:b/>
          <w:sz w:val="20"/>
          <w:szCs w:val="20"/>
          <w:u w:val="single"/>
        </w:rPr>
      </w:pPr>
      <w:r w:rsidRPr="00137538">
        <w:rPr>
          <w:rFonts w:ascii="Verdana" w:hAnsi="Verdana" w:cs="Verdana"/>
          <w:b/>
          <w:sz w:val="20"/>
          <w:szCs w:val="20"/>
          <w:u w:val="single"/>
        </w:rPr>
        <w:lastRenderedPageBreak/>
        <w:t>Monthly Enforcement Increments</w:t>
      </w:r>
    </w:p>
    <w:p w14:paraId="5F695FEB" w14:textId="77777777" w:rsidR="00E81E66" w:rsidRPr="00137538" w:rsidRDefault="00E81E66" w:rsidP="00E81E6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January 2017</w:t>
      </w:r>
      <w:r w:rsidRPr="00137538">
        <w:rPr>
          <w:rFonts w:ascii="Verdana" w:hAnsi="Verdana" w:cs="Verdana"/>
          <w:sz w:val="20"/>
          <w:szCs w:val="20"/>
        </w:rPr>
        <w:t>, Monthly Enforcement Increments will process for eligible employees according to the following schedule:</w:t>
      </w:r>
    </w:p>
    <w:p w14:paraId="6891B135" w14:textId="77777777" w:rsidR="00E81E66" w:rsidRPr="00137538" w:rsidRDefault="00E81E66" w:rsidP="00E81E66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350"/>
        <w:gridCol w:w="2273"/>
        <w:gridCol w:w="1597"/>
      </w:tblGrid>
      <w:tr w:rsidR="00E81E66" w:rsidRPr="00137538" w14:paraId="7A44F7C9" w14:textId="77777777" w:rsidTr="002C09C2">
        <w:tc>
          <w:tcPr>
            <w:tcW w:w="4140" w:type="dxa"/>
          </w:tcPr>
          <w:p w14:paraId="38481B3E" w14:textId="77777777" w:rsidR="00E81E66" w:rsidRPr="00137538" w:rsidRDefault="00E81E66" w:rsidP="00FC2686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Contract Name &amp; Bargaining Units</w:t>
            </w:r>
          </w:p>
        </w:tc>
        <w:tc>
          <w:tcPr>
            <w:tcW w:w="1350" w:type="dxa"/>
            <w:shd w:val="clear" w:color="auto" w:fill="auto"/>
          </w:tcPr>
          <w:p w14:paraId="4149DCF6" w14:textId="77777777" w:rsidR="00E81E66" w:rsidRPr="00137538" w:rsidRDefault="00E81E66" w:rsidP="00FC268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Pay Scale</w:t>
            </w:r>
          </w:p>
        </w:tc>
        <w:tc>
          <w:tcPr>
            <w:tcW w:w="2273" w:type="dxa"/>
            <w:shd w:val="clear" w:color="auto" w:fill="auto"/>
          </w:tcPr>
          <w:p w14:paraId="49AE8F20" w14:textId="77777777" w:rsidR="00E81E66" w:rsidRPr="00137538" w:rsidRDefault="00E81E66" w:rsidP="00FC268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Effective Date(s)</w:t>
            </w:r>
          </w:p>
        </w:tc>
        <w:tc>
          <w:tcPr>
            <w:tcW w:w="1597" w:type="dxa"/>
            <w:shd w:val="clear" w:color="auto" w:fill="auto"/>
          </w:tcPr>
          <w:p w14:paraId="48B59C96" w14:textId="77777777" w:rsidR="00E81E66" w:rsidRPr="00137538" w:rsidRDefault="00E81E66" w:rsidP="00FC268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Pay Dates(s)</w:t>
            </w:r>
          </w:p>
        </w:tc>
      </w:tr>
      <w:tr w:rsidR="00E81E66" w:rsidRPr="00137538" w14:paraId="513288DC" w14:textId="77777777" w:rsidTr="002C09C2">
        <w:trPr>
          <w:trHeight w:val="692"/>
        </w:trPr>
        <w:tc>
          <w:tcPr>
            <w:tcW w:w="4140" w:type="dxa"/>
            <w:vAlign w:val="center"/>
          </w:tcPr>
          <w:p w14:paraId="42E2DD4B" w14:textId="77777777" w:rsidR="00E81E66" w:rsidRPr="00137538" w:rsidRDefault="00E81E66" w:rsidP="00FC2686">
            <w:pPr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PSCOA (H1)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4506914" w14:textId="77777777" w:rsidR="00E81E66" w:rsidRPr="00137538" w:rsidRDefault="00E81E66" w:rsidP="00FC268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CO</w:t>
            </w:r>
          </w:p>
        </w:tc>
        <w:tc>
          <w:tcPr>
            <w:tcW w:w="2273" w:type="dxa"/>
            <w:vMerge w:val="restart"/>
            <w:shd w:val="clear" w:color="auto" w:fill="auto"/>
          </w:tcPr>
          <w:p w14:paraId="6BDBEE24" w14:textId="77777777" w:rsidR="00E81E66" w:rsidRPr="00137538" w:rsidRDefault="00E81E66" w:rsidP="00FC268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Z1</w:t>
            </w:r>
          </w:p>
          <w:p w14:paraId="6F4BDF06" w14:textId="77777777" w:rsidR="00E81E66" w:rsidRPr="00137538" w:rsidRDefault="00E81E66" w:rsidP="00FC268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01/01/2017</w:t>
            </w:r>
          </w:p>
          <w:p w14:paraId="4CB7E470" w14:textId="77777777" w:rsidR="00E81E66" w:rsidRPr="00137538" w:rsidRDefault="00E81E66" w:rsidP="00FC268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45C36EE2" w14:textId="77777777" w:rsidR="00E81E66" w:rsidRPr="00137538" w:rsidRDefault="00E81E66" w:rsidP="00FC268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Z2</w:t>
            </w:r>
          </w:p>
          <w:p w14:paraId="7581B7E7" w14:textId="77777777" w:rsidR="00E81E66" w:rsidRPr="00137538" w:rsidRDefault="00E81E66" w:rsidP="00FC268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01/14/2017</w:t>
            </w:r>
          </w:p>
          <w:p w14:paraId="0C791707" w14:textId="77777777" w:rsidR="00E81E66" w:rsidRPr="00137538" w:rsidRDefault="00E81E66" w:rsidP="00FC268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C750FA2" w14:textId="77777777" w:rsidR="00E81E66" w:rsidRPr="00137538" w:rsidRDefault="00E81E66" w:rsidP="00FC268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Z3</w:t>
            </w:r>
          </w:p>
          <w:p w14:paraId="51E57425" w14:textId="77777777" w:rsidR="00E81E66" w:rsidRPr="00137538" w:rsidRDefault="00E81E66" w:rsidP="00FC268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01/07/2017</w:t>
            </w:r>
          </w:p>
        </w:tc>
        <w:tc>
          <w:tcPr>
            <w:tcW w:w="1597" w:type="dxa"/>
            <w:vMerge w:val="restart"/>
            <w:shd w:val="clear" w:color="auto" w:fill="auto"/>
          </w:tcPr>
          <w:p w14:paraId="6AA5956B" w14:textId="77777777" w:rsidR="00CE69F5" w:rsidRDefault="00CE69F5" w:rsidP="00CE69F5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Z1</w:t>
            </w:r>
          </w:p>
          <w:p w14:paraId="6D620BE0" w14:textId="77777777" w:rsidR="00CE69F5" w:rsidRPr="00CE69F5" w:rsidRDefault="00CE69F5" w:rsidP="00FC268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E69F5">
              <w:rPr>
                <w:rFonts w:ascii="Verdana" w:hAnsi="Verdana" w:cs="Verdana"/>
                <w:sz w:val="20"/>
                <w:szCs w:val="20"/>
              </w:rPr>
              <w:t>01/27/2017</w:t>
            </w:r>
          </w:p>
          <w:p w14:paraId="656E80B1" w14:textId="77777777" w:rsidR="00CE69F5" w:rsidRDefault="00CE69F5" w:rsidP="00FC268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5B4BEAEE" w14:textId="77777777" w:rsidR="00E81E66" w:rsidRPr="00137538" w:rsidRDefault="00E81E66" w:rsidP="00FC268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Z2</w:t>
            </w:r>
          </w:p>
          <w:p w14:paraId="0A808421" w14:textId="77777777" w:rsidR="00E81E66" w:rsidRPr="00137538" w:rsidRDefault="00CE69F5" w:rsidP="00FC268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02/10/2017</w:t>
            </w:r>
          </w:p>
          <w:p w14:paraId="7F59AD64" w14:textId="77777777" w:rsidR="00E81E66" w:rsidRPr="00137538" w:rsidRDefault="00E81E66" w:rsidP="00FC268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E5DD981" w14:textId="77777777" w:rsidR="00E81E66" w:rsidRPr="00137538" w:rsidRDefault="00E81E66" w:rsidP="00FC268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Z3</w:t>
            </w:r>
          </w:p>
          <w:p w14:paraId="616DED39" w14:textId="77777777" w:rsidR="00E81E66" w:rsidRPr="00137538" w:rsidRDefault="00CE69F5" w:rsidP="00FC268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02/03/2017</w:t>
            </w:r>
          </w:p>
        </w:tc>
      </w:tr>
      <w:tr w:rsidR="00E81E66" w:rsidRPr="00137538" w14:paraId="32C6767D" w14:textId="77777777" w:rsidTr="002C09C2">
        <w:trPr>
          <w:trHeight w:val="791"/>
        </w:trPr>
        <w:tc>
          <w:tcPr>
            <w:tcW w:w="4140" w:type="dxa"/>
            <w:vAlign w:val="center"/>
          </w:tcPr>
          <w:p w14:paraId="1AB94201" w14:textId="77777777" w:rsidR="00E81E66" w:rsidRPr="00137538" w:rsidRDefault="00E81E66" w:rsidP="00FC2686">
            <w:pPr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AFSCME – Corrections Supervisory (A2, J2, N2)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25F149" w14:textId="77777777" w:rsidR="00E81E66" w:rsidRPr="00137538" w:rsidRDefault="00E81E66" w:rsidP="00FC268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CS</w:t>
            </w:r>
          </w:p>
        </w:tc>
        <w:tc>
          <w:tcPr>
            <w:tcW w:w="2273" w:type="dxa"/>
            <w:vMerge/>
            <w:shd w:val="clear" w:color="auto" w:fill="auto"/>
          </w:tcPr>
          <w:p w14:paraId="5AA65DF3" w14:textId="77777777" w:rsidR="00E81E66" w:rsidRPr="00137538" w:rsidRDefault="00E81E66" w:rsidP="00FC2686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3B6F2AB7" w14:textId="77777777" w:rsidR="00E81E66" w:rsidRPr="00137538" w:rsidRDefault="00E81E66" w:rsidP="00FC2686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E81E66" w:rsidRPr="00137538" w14:paraId="5960A57B" w14:textId="77777777" w:rsidTr="002C09C2">
        <w:trPr>
          <w:trHeight w:val="629"/>
        </w:trPr>
        <w:tc>
          <w:tcPr>
            <w:tcW w:w="4140" w:type="dxa"/>
            <w:vAlign w:val="center"/>
          </w:tcPr>
          <w:p w14:paraId="02BC623F" w14:textId="77777777" w:rsidR="00E81E66" w:rsidRPr="00137538" w:rsidRDefault="00E81E66" w:rsidP="00FC2686">
            <w:pPr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PSTA (L1)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11AD48" w14:textId="77777777" w:rsidR="00E81E66" w:rsidRPr="00137538" w:rsidRDefault="00E81E66" w:rsidP="00FC268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SP</w:t>
            </w:r>
          </w:p>
        </w:tc>
        <w:tc>
          <w:tcPr>
            <w:tcW w:w="2273" w:type="dxa"/>
            <w:vMerge/>
            <w:shd w:val="clear" w:color="auto" w:fill="auto"/>
          </w:tcPr>
          <w:p w14:paraId="113164F3" w14:textId="77777777" w:rsidR="00E81E66" w:rsidRPr="00137538" w:rsidRDefault="00E81E66" w:rsidP="00FC2686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2EFA74D4" w14:textId="77777777" w:rsidR="00E81E66" w:rsidRPr="00137538" w:rsidRDefault="00E81E66" w:rsidP="00FC2686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14:paraId="6BB94FED" w14:textId="77777777" w:rsidR="00E81E66" w:rsidRPr="00137538" w:rsidRDefault="00E81E66" w:rsidP="00E81E66">
      <w:pPr>
        <w:rPr>
          <w:rFonts w:ascii="Verdana" w:hAnsi="Verdana" w:cs="Verdana"/>
          <w:sz w:val="20"/>
          <w:szCs w:val="20"/>
        </w:rPr>
      </w:pPr>
    </w:p>
    <w:p w14:paraId="3F3C14AF" w14:textId="77777777" w:rsidR="00E81E66" w:rsidRPr="00137538" w:rsidRDefault="00E81E66" w:rsidP="00E81E66">
      <w:pPr>
        <w:rPr>
          <w:rFonts w:ascii="Verdana" w:hAnsi="Verdana" w:cs="Verdana"/>
          <w:sz w:val="20"/>
          <w:szCs w:val="20"/>
        </w:rPr>
      </w:pPr>
      <w:r w:rsidRPr="00137538">
        <w:rPr>
          <w:rFonts w:ascii="Verdana" w:hAnsi="Verdana" w:cs="Verdana"/>
          <w:sz w:val="20"/>
          <w:szCs w:val="20"/>
        </w:rPr>
        <w:t>Bargaining Units L4 (FOP-Capitol Police) and R4 (PSRA) are currently excluded from the monthly enforcement increment processing due to expired contracts as of June 30, 2015.</w:t>
      </w:r>
    </w:p>
    <w:p w14:paraId="7EF25277" w14:textId="77777777" w:rsidR="0054175F" w:rsidRDefault="0054175F" w:rsidP="00E56507">
      <w:pPr>
        <w:rPr>
          <w:rFonts w:ascii="Verdana" w:hAnsi="Verdana" w:cs="Verdana"/>
          <w:sz w:val="20"/>
          <w:szCs w:val="20"/>
        </w:rPr>
      </w:pPr>
    </w:p>
    <w:p w14:paraId="315297B7" w14:textId="77777777" w:rsidR="00A34D78" w:rsidRPr="001A3CC7" w:rsidRDefault="00A34D78" w:rsidP="00A34D78">
      <w:pPr>
        <w:rPr>
          <w:rFonts w:ascii="Verdana" w:hAnsi="Verdana" w:cs="Verdana"/>
          <w:b/>
          <w:sz w:val="20"/>
          <w:szCs w:val="20"/>
          <w:u w:val="single"/>
        </w:rPr>
      </w:pPr>
      <w:r w:rsidRPr="001A3CC7">
        <w:rPr>
          <w:rFonts w:ascii="Verdana" w:hAnsi="Verdana" w:cs="Verdana"/>
          <w:b/>
          <w:sz w:val="20"/>
          <w:szCs w:val="20"/>
          <w:u w:val="single"/>
        </w:rPr>
        <w:t xml:space="preserve">Statutory </w:t>
      </w:r>
      <w:r w:rsidR="00FE49B5">
        <w:rPr>
          <w:rFonts w:ascii="Verdana" w:hAnsi="Verdana" w:cs="Verdana"/>
          <w:b/>
          <w:sz w:val="20"/>
          <w:szCs w:val="20"/>
          <w:u w:val="single"/>
        </w:rPr>
        <w:t>Salaries</w:t>
      </w:r>
    </w:p>
    <w:p w14:paraId="48932451" w14:textId="77777777" w:rsidR="00A34D78" w:rsidRDefault="0056331D" w:rsidP="00A34D7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Statutory e</w:t>
      </w:r>
      <w:r w:rsidR="00FE49B5">
        <w:rPr>
          <w:rFonts w:ascii="Verdana" w:hAnsi="Verdana" w:cs="Verdana"/>
          <w:sz w:val="20"/>
          <w:szCs w:val="20"/>
        </w:rPr>
        <w:t xml:space="preserve">mployees </w:t>
      </w:r>
      <w:r w:rsidR="00E85652">
        <w:rPr>
          <w:rFonts w:ascii="Verdana" w:hAnsi="Verdana" w:cs="Verdana"/>
          <w:sz w:val="20"/>
          <w:szCs w:val="20"/>
        </w:rPr>
        <w:t>will receive a cost-of-living adjustment (COLA), effective January 1, 2017. The increase</w:t>
      </w:r>
      <w:r w:rsidR="00470195">
        <w:rPr>
          <w:rFonts w:ascii="Verdana" w:hAnsi="Verdana" w:cs="Verdana"/>
          <w:sz w:val="20"/>
          <w:szCs w:val="20"/>
        </w:rPr>
        <w:t xml:space="preserve"> for </w:t>
      </w:r>
      <w:r w:rsidR="00FE49B5">
        <w:rPr>
          <w:rFonts w:ascii="Verdana" w:hAnsi="Verdana" w:cs="Verdana"/>
          <w:sz w:val="20"/>
          <w:szCs w:val="20"/>
        </w:rPr>
        <w:t xml:space="preserve">certain </w:t>
      </w:r>
      <w:r w:rsidR="00470195">
        <w:rPr>
          <w:rFonts w:ascii="Verdana" w:hAnsi="Verdana" w:cs="Verdana"/>
          <w:sz w:val="20"/>
          <w:szCs w:val="20"/>
        </w:rPr>
        <w:t>elected and appointed officials</w:t>
      </w:r>
      <w:r w:rsidR="00E85652">
        <w:rPr>
          <w:rFonts w:ascii="Verdana" w:hAnsi="Verdana" w:cs="Verdana"/>
          <w:sz w:val="20"/>
          <w:szCs w:val="20"/>
        </w:rPr>
        <w:t xml:space="preserve"> will </w:t>
      </w:r>
      <w:r w:rsidR="005B4027">
        <w:rPr>
          <w:rFonts w:ascii="Verdana" w:hAnsi="Verdana" w:cs="Verdana"/>
          <w:sz w:val="20"/>
          <w:szCs w:val="20"/>
        </w:rPr>
        <w:t>process</w:t>
      </w:r>
      <w:r w:rsidR="00E85652">
        <w:rPr>
          <w:rFonts w:ascii="Verdana" w:hAnsi="Verdana" w:cs="Verdana"/>
          <w:sz w:val="20"/>
          <w:szCs w:val="20"/>
        </w:rPr>
        <w:t xml:space="preserve"> according to the following schedule:</w:t>
      </w:r>
    </w:p>
    <w:p w14:paraId="4FE5134A" w14:textId="77777777" w:rsidR="00AC3439" w:rsidRPr="001A3CC7" w:rsidRDefault="00AC3439" w:rsidP="00A34D78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25"/>
        <w:gridCol w:w="6122"/>
      </w:tblGrid>
      <w:tr w:rsidR="00A34D78" w:rsidRPr="001A3CC7" w14:paraId="61C07A2D" w14:textId="77777777" w:rsidTr="00FC2686">
        <w:tc>
          <w:tcPr>
            <w:tcW w:w="1620" w:type="dxa"/>
            <w:shd w:val="clear" w:color="auto" w:fill="auto"/>
            <w:vAlign w:val="center"/>
          </w:tcPr>
          <w:p w14:paraId="2221CBE3" w14:textId="77777777" w:rsidR="00A34D78" w:rsidRPr="00736D38" w:rsidRDefault="00A34D78" w:rsidP="00FC268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36D38">
              <w:rPr>
                <w:rFonts w:ascii="Verdana" w:hAnsi="Verdana" w:cs="Verdana"/>
                <w:b/>
                <w:sz w:val="20"/>
                <w:szCs w:val="20"/>
              </w:rPr>
              <w:t>Payroll Area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977A51" w14:textId="77777777" w:rsidR="00A34D78" w:rsidRPr="00736D38" w:rsidRDefault="00A34D78" w:rsidP="00FC268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36D38">
              <w:rPr>
                <w:rFonts w:ascii="Verdana" w:hAnsi="Verdana" w:cs="Verdana"/>
                <w:b/>
                <w:sz w:val="20"/>
                <w:szCs w:val="20"/>
              </w:rPr>
              <w:t>Pay Date</w:t>
            </w:r>
          </w:p>
        </w:tc>
        <w:tc>
          <w:tcPr>
            <w:tcW w:w="6318" w:type="dxa"/>
            <w:shd w:val="clear" w:color="auto" w:fill="auto"/>
          </w:tcPr>
          <w:p w14:paraId="1F3C2768" w14:textId="77777777" w:rsidR="00A34D78" w:rsidRPr="00736D38" w:rsidRDefault="00A34D78" w:rsidP="00FC268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36D38">
              <w:rPr>
                <w:rFonts w:ascii="Verdana" w:hAnsi="Verdana" w:cs="Verdana"/>
                <w:b/>
                <w:sz w:val="20"/>
                <w:szCs w:val="20"/>
              </w:rPr>
              <w:t>Payment</w:t>
            </w:r>
          </w:p>
        </w:tc>
      </w:tr>
      <w:tr w:rsidR="00A34D78" w:rsidRPr="001A3CC7" w14:paraId="5052B3B7" w14:textId="77777777" w:rsidTr="00FC2686">
        <w:tc>
          <w:tcPr>
            <w:tcW w:w="1620" w:type="dxa"/>
            <w:shd w:val="clear" w:color="auto" w:fill="auto"/>
            <w:vAlign w:val="center"/>
          </w:tcPr>
          <w:p w14:paraId="301BEF6F" w14:textId="77777777" w:rsidR="00A34D78" w:rsidRPr="00736D38" w:rsidRDefault="00A34D78" w:rsidP="00FC268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>Z3/T3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BD3C0F" w14:textId="77777777" w:rsidR="00A34D78" w:rsidRPr="00736D38" w:rsidRDefault="00FC2686" w:rsidP="00FC268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01/20</w:t>
            </w:r>
            <w:r w:rsidR="00A34D78" w:rsidRPr="00736D38">
              <w:rPr>
                <w:rFonts w:ascii="Verdana" w:hAnsi="Verdana" w:cs="Verdana"/>
                <w:sz w:val="20"/>
                <w:szCs w:val="20"/>
              </w:rPr>
              <w:t>/201</w:t>
            </w:r>
            <w:r w:rsidR="00742DD0"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6318" w:type="dxa"/>
            <w:shd w:val="clear" w:color="auto" w:fill="auto"/>
          </w:tcPr>
          <w:p w14:paraId="08B5D0E9" w14:textId="77777777" w:rsidR="00A34D78" w:rsidRPr="00736D38" w:rsidRDefault="00FC2686" w:rsidP="00FC268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Partial payment for 01/01/2017 to 01/06/2017.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  <w:p w14:paraId="421C3CBB" w14:textId="77777777" w:rsidR="00A34D78" w:rsidRPr="00736D38" w:rsidRDefault="00A34D78" w:rsidP="00FC2686">
            <w:pPr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 xml:space="preserve">First full payment will be received on pay date </w:t>
            </w:r>
            <w:r w:rsidR="00FC2686">
              <w:rPr>
                <w:rFonts w:ascii="Verdana" w:hAnsi="Verdana" w:cs="Verdana"/>
                <w:sz w:val="20"/>
                <w:szCs w:val="20"/>
              </w:rPr>
              <w:t>02/03/2017.</w:t>
            </w:r>
          </w:p>
        </w:tc>
      </w:tr>
      <w:tr w:rsidR="00A34D78" w:rsidRPr="001A3CC7" w14:paraId="70F61764" w14:textId="77777777" w:rsidTr="00FC2686">
        <w:tc>
          <w:tcPr>
            <w:tcW w:w="1620" w:type="dxa"/>
            <w:shd w:val="clear" w:color="auto" w:fill="auto"/>
            <w:vAlign w:val="center"/>
          </w:tcPr>
          <w:p w14:paraId="0FC54EE5" w14:textId="77777777" w:rsidR="00A34D78" w:rsidRPr="00736D38" w:rsidRDefault="00A34D78" w:rsidP="00FC268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>Z2/T2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F7071BF" w14:textId="77777777" w:rsidR="00A34D78" w:rsidRPr="00736D38" w:rsidRDefault="00FC2686" w:rsidP="00FC268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01/27</w:t>
            </w:r>
            <w:r w:rsidR="00A34D78" w:rsidRPr="00736D38">
              <w:rPr>
                <w:rFonts w:ascii="Verdana" w:hAnsi="Verdana" w:cs="Verdana"/>
                <w:sz w:val="20"/>
                <w:szCs w:val="20"/>
              </w:rPr>
              <w:t>/201</w:t>
            </w:r>
            <w:r w:rsidR="00742DD0"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6318" w:type="dxa"/>
            <w:shd w:val="clear" w:color="auto" w:fill="auto"/>
          </w:tcPr>
          <w:p w14:paraId="37C87BF6" w14:textId="77777777" w:rsidR="00A34D78" w:rsidRPr="00736D38" w:rsidRDefault="00FC2686" w:rsidP="00FC268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Partial payment for 01/01/2017 to 01/13/2017</w:t>
            </w:r>
            <w:r w:rsidR="00A34D78" w:rsidRPr="00736D38">
              <w:rPr>
                <w:rFonts w:ascii="Verdana" w:hAnsi="Verdana" w:cs="Verdana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  <w:p w14:paraId="21486276" w14:textId="77777777" w:rsidR="00A34D78" w:rsidRPr="00736D38" w:rsidRDefault="00A34D78" w:rsidP="00FC2686">
            <w:pPr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 xml:space="preserve">First full payment will be received on pay date </w:t>
            </w:r>
            <w:r w:rsidR="00FC2686">
              <w:rPr>
                <w:rFonts w:ascii="Verdana" w:hAnsi="Verdana" w:cs="Verdana"/>
                <w:sz w:val="20"/>
                <w:szCs w:val="20"/>
              </w:rPr>
              <w:t>02/10/2017.</w:t>
            </w:r>
          </w:p>
        </w:tc>
      </w:tr>
      <w:tr w:rsidR="00A34D78" w:rsidRPr="001A3CC7" w14:paraId="0FC4D8A5" w14:textId="77777777" w:rsidTr="00FC2686">
        <w:tc>
          <w:tcPr>
            <w:tcW w:w="1620" w:type="dxa"/>
            <w:shd w:val="clear" w:color="auto" w:fill="auto"/>
            <w:vAlign w:val="center"/>
          </w:tcPr>
          <w:p w14:paraId="2BEC3EF5" w14:textId="77777777" w:rsidR="00A34D78" w:rsidRPr="00736D38" w:rsidRDefault="00A34D78" w:rsidP="00FC268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>Z1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37F893" w14:textId="77777777" w:rsidR="00A34D78" w:rsidRPr="00736D38" w:rsidRDefault="00742DD0" w:rsidP="00FC268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01/27</w:t>
            </w:r>
            <w:r w:rsidR="00A34D78" w:rsidRPr="00736D38">
              <w:rPr>
                <w:rFonts w:ascii="Verdana" w:hAnsi="Verdana" w:cs="Verdana"/>
                <w:sz w:val="20"/>
                <w:szCs w:val="20"/>
              </w:rPr>
              <w:t>/201</w:t>
            </w: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6318" w:type="dxa"/>
            <w:shd w:val="clear" w:color="auto" w:fill="auto"/>
          </w:tcPr>
          <w:p w14:paraId="7B47E263" w14:textId="77777777" w:rsidR="00A34D78" w:rsidRPr="00736D38" w:rsidRDefault="00B7487A" w:rsidP="00742DD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partial payment</w:t>
            </w:r>
            <w:r w:rsidR="00FC2686">
              <w:rPr>
                <w:rFonts w:ascii="Verdana" w:hAnsi="Verdana" w:cs="Verdana"/>
                <w:sz w:val="20"/>
                <w:szCs w:val="20"/>
              </w:rPr>
              <w:t xml:space="preserve">. </w:t>
            </w:r>
            <w:r w:rsidR="00A34D78" w:rsidRPr="00736D38">
              <w:rPr>
                <w:rFonts w:ascii="Verdana" w:hAnsi="Verdana" w:cs="Verdana"/>
                <w:sz w:val="20"/>
                <w:szCs w:val="20"/>
              </w:rPr>
              <w:t xml:space="preserve">First full payment will be received on pay date </w:t>
            </w:r>
            <w:r w:rsidR="00742DD0">
              <w:rPr>
                <w:rFonts w:ascii="Verdana" w:hAnsi="Verdana" w:cs="Verdana"/>
                <w:sz w:val="20"/>
                <w:szCs w:val="20"/>
              </w:rPr>
              <w:t>01/27/2017.</w:t>
            </w:r>
          </w:p>
        </w:tc>
      </w:tr>
    </w:tbl>
    <w:p w14:paraId="0DB7DBFB" w14:textId="77777777" w:rsidR="00B64716" w:rsidRDefault="00B64716" w:rsidP="00E56507">
      <w:pPr>
        <w:rPr>
          <w:rFonts w:ascii="Verdana" w:hAnsi="Verdana" w:cs="Verdana"/>
          <w:sz w:val="20"/>
          <w:szCs w:val="20"/>
        </w:rPr>
      </w:pPr>
    </w:p>
    <w:p w14:paraId="617EDBD6" w14:textId="77777777" w:rsidR="00A34D78" w:rsidRPr="00137538" w:rsidRDefault="00A34D78" w:rsidP="00A34D78">
      <w:pPr>
        <w:rPr>
          <w:rFonts w:ascii="Verdana" w:hAnsi="Verdana" w:cs="Verdana"/>
          <w:b/>
          <w:sz w:val="20"/>
          <w:szCs w:val="20"/>
          <w:u w:val="single"/>
        </w:rPr>
      </w:pPr>
      <w:r w:rsidRPr="00137538">
        <w:rPr>
          <w:rFonts w:ascii="Verdana" w:hAnsi="Verdana" w:cs="Verdana"/>
          <w:b/>
          <w:sz w:val="20"/>
          <w:szCs w:val="20"/>
          <w:u w:val="single"/>
        </w:rPr>
        <w:t>System Non-Availability</w:t>
      </w:r>
    </w:p>
    <w:p w14:paraId="5AC48EA9" w14:textId="77777777" w:rsidR="00A34D78" w:rsidRPr="00137538" w:rsidRDefault="00A34D78" w:rsidP="00A34D78">
      <w:pPr>
        <w:rPr>
          <w:rFonts w:ascii="Verdana" w:hAnsi="Verdana" w:cs="Verdana"/>
          <w:sz w:val="20"/>
          <w:szCs w:val="20"/>
        </w:rPr>
      </w:pPr>
      <w:r w:rsidRPr="00137538">
        <w:rPr>
          <w:rFonts w:ascii="Verdana" w:hAnsi="Verdana" w:cs="Verdana"/>
          <w:sz w:val="20"/>
          <w:szCs w:val="20"/>
        </w:rPr>
        <w:t>There is no scheduled downtime for SAP.</w:t>
      </w:r>
    </w:p>
    <w:p w14:paraId="41A1D524" w14:textId="77777777" w:rsidR="00A34D78" w:rsidRDefault="00A34D78" w:rsidP="00E56507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14:paraId="787AA78F" w14:textId="77777777" w:rsidR="00A34D78" w:rsidRPr="009C1B31" w:rsidRDefault="00A34D78" w:rsidP="00E56507">
      <w:pPr>
        <w:rPr>
          <w:rFonts w:ascii="Verdana" w:hAnsi="Verdana" w:cs="Verdana"/>
          <w:sz w:val="20"/>
          <w:szCs w:val="20"/>
        </w:rPr>
      </w:pPr>
    </w:p>
    <w:p w14:paraId="147AFEDB" w14:textId="4120C318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3C18A7F0BA6C41219A9A3EF7F58E61C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71AEF">
            <w:rPr>
              <w:rFonts w:ascii="Verdana" w:hAnsi="Verdana" w:cs="Verdana"/>
              <w:sz w:val="20"/>
              <w:szCs w:val="20"/>
            </w:rPr>
            <w:t xml:space="preserve">January 2017 </w:t>
          </w:r>
          <w:r w:rsidR="00D71AEF">
            <w:rPr>
              <w:rFonts w:ascii="Verdana" w:hAnsi="Verdana" w:cs="Verdana"/>
              <w:sz w:val="20"/>
              <w:szCs w:val="20"/>
            </w:rPr>
            <w:t>m</w:t>
          </w:r>
          <w:r w:rsidR="00D71AEF">
            <w:rPr>
              <w:rFonts w:ascii="Verdana" w:hAnsi="Verdana" w:cs="Verdana"/>
              <w:sz w:val="20"/>
              <w:szCs w:val="20"/>
            </w:rPr>
            <w:t xml:space="preserve">ass </w:t>
          </w:r>
          <w:r w:rsidR="00D71AEF">
            <w:rPr>
              <w:rFonts w:ascii="Verdana" w:hAnsi="Verdana" w:cs="Verdana"/>
              <w:sz w:val="20"/>
              <w:szCs w:val="20"/>
            </w:rPr>
            <w:t>c</w:t>
          </w:r>
          <w:r w:rsidR="00D71AEF">
            <w:rPr>
              <w:rFonts w:ascii="Verdana" w:hAnsi="Verdana" w:cs="Verdana"/>
              <w:sz w:val="20"/>
              <w:szCs w:val="20"/>
            </w:rPr>
            <w:t xml:space="preserve">ompensation </w:t>
          </w:r>
          <w:r w:rsidR="00D71AEF">
            <w:rPr>
              <w:rFonts w:ascii="Verdana" w:hAnsi="Verdana" w:cs="Verdana"/>
              <w:sz w:val="20"/>
              <w:szCs w:val="20"/>
            </w:rPr>
            <w:t>p</w:t>
          </w:r>
          <w:r w:rsidR="00D71AEF">
            <w:rPr>
              <w:rFonts w:ascii="Verdana" w:hAnsi="Verdana" w:cs="Verdana"/>
              <w:sz w:val="20"/>
              <w:szCs w:val="20"/>
            </w:rPr>
            <w:t>rocessing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p w14:paraId="4D8FCC3C" w14:textId="77777777" w:rsidR="00942EF4" w:rsidRDefault="00942EF4" w:rsidP="009C625C">
      <w:pPr>
        <w:rPr>
          <w:rFonts w:ascii="Verdana" w:hAnsi="Verdana" w:cs="Verdana"/>
          <w:sz w:val="20"/>
          <w:szCs w:val="20"/>
        </w:rPr>
      </w:pPr>
    </w:p>
    <w:p w14:paraId="209AE7E0" w14:textId="77777777" w:rsidR="00942EF4" w:rsidRDefault="00942EF4" w:rsidP="009C625C">
      <w:pPr>
        <w:rPr>
          <w:rFonts w:ascii="Verdana" w:hAnsi="Verdana" w:cs="Verdana"/>
          <w:sz w:val="20"/>
          <w:szCs w:val="20"/>
        </w:rPr>
      </w:pPr>
    </w:p>
    <w:p w14:paraId="71BE3A30" w14:textId="77777777" w:rsidR="00942EF4" w:rsidRDefault="00942EF4" w:rsidP="009C625C">
      <w:pPr>
        <w:rPr>
          <w:rFonts w:ascii="Verdana" w:hAnsi="Verdana" w:cs="Verdana"/>
          <w:sz w:val="20"/>
          <w:szCs w:val="20"/>
        </w:rPr>
      </w:pPr>
    </w:p>
    <w:sectPr w:rsidR="00942EF4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83F50" w14:textId="77777777" w:rsidR="00D82681" w:rsidRDefault="00D82681">
      <w:r>
        <w:separator/>
      </w:r>
    </w:p>
  </w:endnote>
  <w:endnote w:type="continuationSeparator" w:id="0">
    <w:p w14:paraId="4478D160" w14:textId="77777777" w:rsidR="00D82681" w:rsidRDefault="00D8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006F7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E7F552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D92FB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D71AEF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58C793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32F26" w14:textId="77777777" w:rsidR="00D82681" w:rsidRDefault="00D82681">
      <w:r>
        <w:separator/>
      </w:r>
    </w:p>
  </w:footnote>
  <w:footnote w:type="continuationSeparator" w:id="0">
    <w:p w14:paraId="6F9A0324" w14:textId="77777777" w:rsidR="00D82681" w:rsidRDefault="00D8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51190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2B9FA9B0" w14:textId="4498E292" w:rsidR="00C903F3" w:rsidRPr="009C625C" w:rsidRDefault="00D71AE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714B1E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714B1E">
          <w:rPr>
            <w:rFonts w:ascii="Verdana" w:hAnsi="Verdana" w:cs="Arial"/>
            <w:b/>
            <w:bCs/>
            <w:sz w:val="28"/>
            <w:szCs w:val="28"/>
          </w:rPr>
          <w:t>6</w:t>
        </w:r>
        <w:r w:rsidR="00714B1E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714B1E">
          <w:rPr>
            <w:rFonts w:ascii="Verdana" w:hAnsi="Verdana" w:cs="Arial"/>
            <w:b/>
            <w:bCs/>
            <w:sz w:val="28"/>
            <w:szCs w:val="28"/>
          </w:rPr>
          <w:t>13</w:t>
        </w:r>
      </w:sdtContent>
    </w:sdt>
  </w:p>
  <w:p w14:paraId="273D9FC1" w14:textId="5D70E5D5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714B1E">
      <w:rPr>
        <w:rFonts w:ascii="Verdana" w:hAnsi="Verdana" w:cs="Arial"/>
        <w:sz w:val="20"/>
        <w:szCs w:val="20"/>
      </w:rPr>
      <w:t>12.21</w:t>
    </w:r>
    <w:r>
      <w:rPr>
        <w:rFonts w:ascii="Verdana" w:hAnsi="Verdana" w:cs="Arial"/>
        <w:sz w:val="20"/>
        <w:szCs w:val="20"/>
      </w:rPr>
      <w:t>.201</w:t>
    </w:r>
    <w:r w:rsidR="00464D7C">
      <w:rPr>
        <w:rFonts w:ascii="Verdana" w:hAnsi="Verdana" w:cs="Arial"/>
        <w:sz w:val="20"/>
        <w:szCs w:val="20"/>
      </w:rPr>
      <w:t>6</w:t>
    </w:r>
  </w:p>
  <w:p w14:paraId="0226684A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67B82B4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BF14AF"/>
    <w:multiLevelType w:val="hybridMultilevel"/>
    <w:tmpl w:val="788E4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9B67C6"/>
    <w:multiLevelType w:val="hybridMultilevel"/>
    <w:tmpl w:val="B9C8C3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D16BC2"/>
    <w:multiLevelType w:val="hybridMultilevel"/>
    <w:tmpl w:val="CDCE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A872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4"/>
  </w:num>
  <w:num w:numId="3">
    <w:abstractNumId w:val="22"/>
  </w:num>
  <w:num w:numId="4">
    <w:abstractNumId w:val="30"/>
  </w:num>
  <w:num w:numId="5">
    <w:abstractNumId w:val="32"/>
  </w:num>
  <w:num w:numId="6">
    <w:abstractNumId w:val="29"/>
  </w:num>
  <w:num w:numId="7">
    <w:abstractNumId w:val="15"/>
  </w:num>
  <w:num w:numId="8">
    <w:abstractNumId w:val="31"/>
  </w:num>
  <w:num w:numId="9">
    <w:abstractNumId w:val="7"/>
  </w:num>
  <w:num w:numId="10">
    <w:abstractNumId w:val="23"/>
  </w:num>
  <w:num w:numId="11">
    <w:abstractNumId w:val="14"/>
  </w:num>
  <w:num w:numId="12">
    <w:abstractNumId w:val="34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8"/>
  </w:num>
  <w:num w:numId="18">
    <w:abstractNumId w:val="26"/>
  </w:num>
  <w:num w:numId="19">
    <w:abstractNumId w:val="35"/>
  </w:num>
  <w:num w:numId="20">
    <w:abstractNumId w:val="1"/>
  </w:num>
  <w:num w:numId="21">
    <w:abstractNumId w:val="4"/>
  </w:num>
  <w:num w:numId="22">
    <w:abstractNumId w:val="21"/>
  </w:num>
  <w:num w:numId="23">
    <w:abstractNumId w:val="27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8"/>
  </w:num>
  <w:num w:numId="27">
    <w:abstractNumId w:val="17"/>
  </w:num>
  <w:num w:numId="28">
    <w:abstractNumId w:val="12"/>
  </w:num>
  <w:num w:numId="29">
    <w:abstractNumId w:val="20"/>
  </w:num>
  <w:num w:numId="30">
    <w:abstractNumId w:val="25"/>
  </w:num>
  <w:num w:numId="31">
    <w:abstractNumId w:val="33"/>
  </w:num>
  <w:num w:numId="32">
    <w:abstractNumId w:val="6"/>
  </w:num>
  <w:num w:numId="33">
    <w:abstractNumId w:val="18"/>
  </w:num>
  <w:num w:numId="34">
    <w:abstractNumId w:val="19"/>
  </w:num>
  <w:num w:numId="35">
    <w:abstractNumId w:val="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81"/>
    <w:rsid w:val="00010771"/>
    <w:rsid w:val="000128F7"/>
    <w:rsid w:val="00015F8F"/>
    <w:rsid w:val="00030A13"/>
    <w:rsid w:val="00037851"/>
    <w:rsid w:val="00041A44"/>
    <w:rsid w:val="000677CE"/>
    <w:rsid w:val="000973C3"/>
    <w:rsid w:val="000A0B0D"/>
    <w:rsid w:val="000C4BA1"/>
    <w:rsid w:val="000D1069"/>
    <w:rsid w:val="000D78CE"/>
    <w:rsid w:val="000E4D76"/>
    <w:rsid w:val="000E559E"/>
    <w:rsid w:val="000F5632"/>
    <w:rsid w:val="00106466"/>
    <w:rsid w:val="0011336B"/>
    <w:rsid w:val="00123562"/>
    <w:rsid w:val="00135131"/>
    <w:rsid w:val="00142029"/>
    <w:rsid w:val="001541CF"/>
    <w:rsid w:val="00163F86"/>
    <w:rsid w:val="00175C94"/>
    <w:rsid w:val="00183489"/>
    <w:rsid w:val="00194B6C"/>
    <w:rsid w:val="001B3B1F"/>
    <w:rsid w:val="001D27AD"/>
    <w:rsid w:val="001E5838"/>
    <w:rsid w:val="001F3743"/>
    <w:rsid w:val="00204AB0"/>
    <w:rsid w:val="002277C4"/>
    <w:rsid w:val="00254EAB"/>
    <w:rsid w:val="00261AF4"/>
    <w:rsid w:val="00262C4D"/>
    <w:rsid w:val="00262F39"/>
    <w:rsid w:val="0026477D"/>
    <w:rsid w:val="00273B57"/>
    <w:rsid w:val="00287270"/>
    <w:rsid w:val="00295C7D"/>
    <w:rsid w:val="00296667"/>
    <w:rsid w:val="0029768F"/>
    <w:rsid w:val="002A29AE"/>
    <w:rsid w:val="002C09C2"/>
    <w:rsid w:val="002D05F5"/>
    <w:rsid w:val="002D5FEF"/>
    <w:rsid w:val="002D77F2"/>
    <w:rsid w:val="002E2EC1"/>
    <w:rsid w:val="002E7E5C"/>
    <w:rsid w:val="002F0C17"/>
    <w:rsid w:val="00303D42"/>
    <w:rsid w:val="00303DED"/>
    <w:rsid w:val="00307692"/>
    <w:rsid w:val="00320821"/>
    <w:rsid w:val="00363E80"/>
    <w:rsid w:val="00377242"/>
    <w:rsid w:val="00387972"/>
    <w:rsid w:val="003A643F"/>
    <w:rsid w:val="003D3C16"/>
    <w:rsid w:val="003F1703"/>
    <w:rsid w:val="003F28EF"/>
    <w:rsid w:val="003F45B6"/>
    <w:rsid w:val="00406094"/>
    <w:rsid w:val="00412D1B"/>
    <w:rsid w:val="004231E8"/>
    <w:rsid w:val="00431645"/>
    <w:rsid w:val="00464D7C"/>
    <w:rsid w:val="004657C4"/>
    <w:rsid w:val="00470195"/>
    <w:rsid w:val="00472D0E"/>
    <w:rsid w:val="00473681"/>
    <w:rsid w:val="004821A6"/>
    <w:rsid w:val="0048680C"/>
    <w:rsid w:val="004A037D"/>
    <w:rsid w:val="004B0360"/>
    <w:rsid w:val="004B65DB"/>
    <w:rsid w:val="004C157A"/>
    <w:rsid w:val="004D2081"/>
    <w:rsid w:val="004E1A78"/>
    <w:rsid w:val="00517E5B"/>
    <w:rsid w:val="00525B66"/>
    <w:rsid w:val="00526E1C"/>
    <w:rsid w:val="00526EB1"/>
    <w:rsid w:val="00527DFA"/>
    <w:rsid w:val="00531D0D"/>
    <w:rsid w:val="0054175F"/>
    <w:rsid w:val="005420FE"/>
    <w:rsid w:val="00557B92"/>
    <w:rsid w:val="00561F4C"/>
    <w:rsid w:val="0056331D"/>
    <w:rsid w:val="00575F1A"/>
    <w:rsid w:val="00581953"/>
    <w:rsid w:val="00591ED2"/>
    <w:rsid w:val="005B4027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75DE1"/>
    <w:rsid w:val="00685856"/>
    <w:rsid w:val="00692502"/>
    <w:rsid w:val="006A226E"/>
    <w:rsid w:val="006A62D1"/>
    <w:rsid w:val="006B78C6"/>
    <w:rsid w:val="006C05AB"/>
    <w:rsid w:val="006C3972"/>
    <w:rsid w:val="006C7DF5"/>
    <w:rsid w:val="006D7B98"/>
    <w:rsid w:val="006E3735"/>
    <w:rsid w:val="006F085B"/>
    <w:rsid w:val="006F7B2C"/>
    <w:rsid w:val="007008F5"/>
    <w:rsid w:val="00713EAA"/>
    <w:rsid w:val="0071406B"/>
    <w:rsid w:val="007142A8"/>
    <w:rsid w:val="00714B1E"/>
    <w:rsid w:val="00725A65"/>
    <w:rsid w:val="00740D43"/>
    <w:rsid w:val="00742DD0"/>
    <w:rsid w:val="00751FA0"/>
    <w:rsid w:val="00755125"/>
    <w:rsid w:val="00761E16"/>
    <w:rsid w:val="00781D8D"/>
    <w:rsid w:val="00792831"/>
    <w:rsid w:val="00794B13"/>
    <w:rsid w:val="007A4A1D"/>
    <w:rsid w:val="007B1C44"/>
    <w:rsid w:val="007B23C1"/>
    <w:rsid w:val="007B4FF2"/>
    <w:rsid w:val="007D4312"/>
    <w:rsid w:val="007D4D67"/>
    <w:rsid w:val="007F0EDA"/>
    <w:rsid w:val="00823FA0"/>
    <w:rsid w:val="00825BAC"/>
    <w:rsid w:val="008333AC"/>
    <w:rsid w:val="00834767"/>
    <w:rsid w:val="00837988"/>
    <w:rsid w:val="00852857"/>
    <w:rsid w:val="00854632"/>
    <w:rsid w:val="00857868"/>
    <w:rsid w:val="00865E95"/>
    <w:rsid w:val="00892D7C"/>
    <w:rsid w:val="008A3241"/>
    <w:rsid w:val="008B477C"/>
    <w:rsid w:val="008B5463"/>
    <w:rsid w:val="008D04D2"/>
    <w:rsid w:val="008E042F"/>
    <w:rsid w:val="008F61D5"/>
    <w:rsid w:val="008F71C2"/>
    <w:rsid w:val="00900FC9"/>
    <w:rsid w:val="0090190F"/>
    <w:rsid w:val="00902FB1"/>
    <w:rsid w:val="009045FA"/>
    <w:rsid w:val="00911E3D"/>
    <w:rsid w:val="00942EF4"/>
    <w:rsid w:val="00944F2D"/>
    <w:rsid w:val="009561C3"/>
    <w:rsid w:val="00964D40"/>
    <w:rsid w:val="00971D59"/>
    <w:rsid w:val="00981D1D"/>
    <w:rsid w:val="00982221"/>
    <w:rsid w:val="00984676"/>
    <w:rsid w:val="009870B6"/>
    <w:rsid w:val="00996592"/>
    <w:rsid w:val="00996D54"/>
    <w:rsid w:val="009A25EE"/>
    <w:rsid w:val="009A7700"/>
    <w:rsid w:val="009B6F9B"/>
    <w:rsid w:val="009B7707"/>
    <w:rsid w:val="009C1128"/>
    <w:rsid w:val="009C1B31"/>
    <w:rsid w:val="009C1C8C"/>
    <w:rsid w:val="009C625C"/>
    <w:rsid w:val="009C7C5D"/>
    <w:rsid w:val="009D3D39"/>
    <w:rsid w:val="009D4082"/>
    <w:rsid w:val="009F3075"/>
    <w:rsid w:val="00A11750"/>
    <w:rsid w:val="00A16566"/>
    <w:rsid w:val="00A17DBF"/>
    <w:rsid w:val="00A256E4"/>
    <w:rsid w:val="00A34D78"/>
    <w:rsid w:val="00A416A3"/>
    <w:rsid w:val="00A43D87"/>
    <w:rsid w:val="00A67C35"/>
    <w:rsid w:val="00A75EC1"/>
    <w:rsid w:val="00A82449"/>
    <w:rsid w:val="00A85CEE"/>
    <w:rsid w:val="00A92752"/>
    <w:rsid w:val="00A9430B"/>
    <w:rsid w:val="00AA09D9"/>
    <w:rsid w:val="00AA4B7F"/>
    <w:rsid w:val="00AC08A4"/>
    <w:rsid w:val="00AC2095"/>
    <w:rsid w:val="00AC3439"/>
    <w:rsid w:val="00AC4B6F"/>
    <w:rsid w:val="00AD22B0"/>
    <w:rsid w:val="00AD38C5"/>
    <w:rsid w:val="00AD493F"/>
    <w:rsid w:val="00AE3238"/>
    <w:rsid w:val="00AF44A6"/>
    <w:rsid w:val="00B00AE6"/>
    <w:rsid w:val="00B070F3"/>
    <w:rsid w:val="00B20ABD"/>
    <w:rsid w:val="00B3324C"/>
    <w:rsid w:val="00B36E7A"/>
    <w:rsid w:val="00B44329"/>
    <w:rsid w:val="00B458B2"/>
    <w:rsid w:val="00B45EB7"/>
    <w:rsid w:val="00B517A2"/>
    <w:rsid w:val="00B57E09"/>
    <w:rsid w:val="00B6169E"/>
    <w:rsid w:val="00B64716"/>
    <w:rsid w:val="00B653EB"/>
    <w:rsid w:val="00B7487A"/>
    <w:rsid w:val="00B84B15"/>
    <w:rsid w:val="00B9185C"/>
    <w:rsid w:val="00BA623A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03F3"/>
    <w:rsid w:val="00C9285D"/>
    <w:rsid w:val="00C928E2"/>
    <w:rsid w:val="00C977C2"/>
    <w:rsid w:val="00CC022A"/>
    <w:rsid w:val="00CD6CB5"/>
    <w:rsid w:val="00CE69F5"/>
    <w:rsid w:val="00D16C5E"/>
    <w:rsid w:val="00D2172A"/>
    <w:rsid w:val="00D31F60"/>
    <w:rsid w:val="00D32413"/>
    <w:rsid w:val="00D33521"/>
    <w:rsid w:val="00D52F2E"/>
    <w:rsid w:val="00D65896"/>
    <w:rsid w:val="00D71AEF"/>
    <w:rsid w:val="00D74829"/>
    <w:rsid w:val="00D82681"/>
    <w:rsid w:val="00DA33AF"/>
    <w:rsid w:val="00DB53B0"/>
    <w:rsid w:val="00DB5A17"/>
    <w:rsid w:val="00DC467C"/>
    <w:rsid w:val="00DD3D5B"/>
    <w:rsid w:val="00DE0508"/>
    <w:rsid w:val="00DE697D"/>
    <w:rsid w:val="00DF4D1A"/>
    <w:rsid w:val="00DF65DF"/>
    <w:rsid w:val="00E15F7F"/>
    <w:rsid w:val="00E16248"/>
    <w:rsid w:val="00E27E23"/>
    <w:rsid w:val="00E42C77"/>
    <w:rsid w:val="00E44989"/>
    <w:rsid w:val="00E44A9D"/>
    <w:rsid w:val="00E45772"/>
    <w:rsid w:val="00E4597C"/>
    <w:rsid w:val="00E46C7B"/>
    <w:rsid w:val="00E47563"/>
    <w:rsid w:val="00E55166"/>
    <w:rsid w:val="00E56507"/>
    <w:rsid w:val="00E6374D"/>
    <w:rsid w:val="00E644D4"/>
    <w:rsid w:val="00E7139F"/>
    <w:rsid w:val="00E800B7"/>
    <w:rsid w:val="00E81E66"/>
    <w:rsid w:val="00E85652"/>
    <w:rsid w:val="00E91151"/>
    <w:rsid w:val="00E94FDB"/>
    <w:rsid w:val="00EB4892"/>
    <w:rsid w:val="00EC04F8"/>
    <w:rsid w:val="00ED5D52"/>
    <w:rsid w:val="00EE0BBB"/>
    <w:rsid w:val="00EE14CE"/>
    <w:rsid w:val="00EE4243"/>
    <w:rsid w:val="00F007DB"/>
    <w:rsid w:val="00F15489"/>
    <w:rsid w:val="00F355F9"/>
    <w:rsid w:val="00F359CE"/>
    <w:rsid w:val="00F45499"/>
    <w:rsid w:val="00F46EFC"/>
    <w:rsid w:val="00F5284F"/>
    <w:rsid w:val="00F54727"/>
    <w:rsid w:val="00F8399F"/>
    <w:rsid w:val="00F8614A"/>
    <w:rsid w:val="00FA169A"/>
    <w:rsid w:val="00FA4911"/>
    <w:rsid w:val="00FA5304"/>
    <w:rsid w:val="00FC2686"/>
    <w:rsid w:val="00FD1180"/>
    <w:rsid w:val="00FD7412"/>
    <w:rsid w:val="00FE49B5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B9039"/>
  <w15:docId w15:val="{E5675171-D619-40F4-9499-91F217DE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NoSpacing">
    <w:name w:val="No Spacing"/>
    <w:uiPriority w:val="1"/>
    <w:qFormat/>
    <w:rsid w:val="0054175F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AC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PA_ALERT_2013_xx_Description_Tex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8111043D684EC496A4EFA0549BB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5DA47-1E7E-470D-94C7-9BE8812D4EDA}"/>
      </w:docPartPr>
      <w:docPartBody>
        <w:p w:rsidR="00B13309" w:rsidRDefault="00B13309">
          <w:pPr>
            <w:pStyle w:val="C58111043D684EC496A4EFA0549BB7D7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C0760772D2AC4624B5A4CCDE23A10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66721-A56E-40A8-8886-F04633D2EE36}"/>
      </w:docPartPr>
      <w:docPartBody>
        <w:p w:rsidR="00B13309" w:rsidRDefault="00B13309">
          <w:pPr>
            <w:pStyle w:val="C0760772D2AC4624B5A4CCDE23A10D2A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3C18A7F0BA6C41219A9A3EF7F58E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A2CF-AA32-4CCD-B762-4BE62D07B962}"/>
      </w:docPartPr>
      <w:docPartBody>
        <w:p w:rsidR="00B13309" w:rsidRDefault="00B13309">
          <w:pPr>
            <w:pStyle w:val="3C18A7F0BA6C41219A9A3EF7F58E61C1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09"/>
    <w:rsid w:val="00B1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C58111043D684EC496A4EFA0549BB7D7">
    <w:name w:val="C58111043D684EC496A4EFA0549BB7D7"/>
  </w:style>
  <w:style w:type="paragraph" w:customStyle="1" w:styleId="C0760772D2AC4624B5A4CCDE23A10D2A">
    <w:name w:val="C0760772D2AC4624B5A4CCDE23A10D2A"/>
  </w:style>
  <w:style w:type="paragraph" w:customStyle="1" w:styleId="3C18A7F0BA6C41219A9A3EF7F58E61C1">
    <w:name w:val="3C18A7F0BA6C41219A9A3EF7F58E6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38285D-8DBF-4B68-AB68-1486A3C329D7}"/>
</file>

<file path=customXml/itemProps2.xml><?xml version="1.0" encoding="utf-8"?>
<ds:datastoreItem xmlns:ds="http://schemas.openxmlformats.org/officeDocument/2006/customXml" ds:itemID="{3CA050DD-6132-4741-80E5-B65406218247}"/>
</file>

<file path=customXml/itemProps3.xml><?xml version="1.0" encoding="utf-8"?>
<ds:datastoreItem xmlns:ds="http://schemas.openxmlformats.org/officeDocument/2006/customXml" ds:itemID="{FEB5583F-CB7D-46BC-90ED-3EF1F223B967}"/>
</file>

<file path=customXml/itemProps4.xml><?xml version="1.0" encoding="utf-8"?>
<ds:datastoreItem xmlns:ds="http://schemas.openxmlformats.org/officeDocument/2006/customXml" ds:itemID="{2ACADAB9-8181-4795-8D2C-C47DC5ED02DA}"/>
</file>

<file path=docProps/app.xml><?xml version="1.0" encoding="utf-8"?>
<Properties xmlns="http://schemas.openxmlformats.org/officeDocument/2006/extended-properties" xmlns:vt="http://schemas.openxmlformats.org/officeDocument/2006/docPropsVTypes">
  <Template>PA_ALERT_2013_xx_Description_Text.dotx</Template>
  <TotalTime>3</TotalTime>
  <Pages>2</Pages>
  <Words>447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 mass compensation processing</vt:lpstr>
    </vt:vector>
  </TitlesOfParts>
  <Company>Office of Administration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 mass compensation processing</dc:title>
  <dc:subject>Information regarding the schedule for the January 2017 mass compensation processing.</dc:subject>
  <dc:creator>Rummel, Jordan</dc:creator>
  <cp:keywords>Description, Keywords, Operations, Personnel Administration</cp:keywords>
  <dc:description/>
  <cp:lastModifiedBy>Carroll, Theresa (OA)</cp:lastModifiedBy>
  <cp:revision>3</cp:revision>
  <cp:lastPrinted>2011-02-25T13:44:00Z</cp:lastPrinted>
  <dcterms:created xsi:type="dcterms:W3CDTF">2016-12-20T16:20:00Z</dcterms:created>
  <dcterms:modified xsi:type="dcterms:W3CDTF">2016-12-20T16:23:00Z</dcterms:modified>
  <cp:category>Personnel Administration Alert</cp:category>
  <cp:contentStatus>2016-13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