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472D0E" w:rsidRPr="001A3CC7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1A3CC7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EF38CA" w:rsidRPr="001A3CC7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5E2198">
        <w:rPr>
          <w:rFonts w:ascii="Verdana" w:hAnsi="Verdana" w:cs="Verdana"/>
          <w:b/>
          <w:bCs/>
          <w:i/>
          <w:iCs/>
          <w:sz w:val="20"/>
          <w:szCs w:val="20"/>
        </w:rPr>
        <w:t>July 2016</w:t>
      </w:r>
      <w:r w:rsidR="00E9410C">
        <w:rPr>
          <w:rFonts w:ascii="Verdana" w:hAnsi="Verdana" w:cs="Verdana"/>
          <w:b/>
          <w:bCs/>
          <w:i/>
          <w:iCs/>
          <w:sz w:val="20"/>
          <w:szCs w:val="20"/>
        </w:rPr>
        <w:t xml:space="preserve"> mass pay increases and fiscal year end blackout periods.</w:t>
      </w:r>
    </w:p>
    <w:p w:rsidR="00472D0E" w:rsidRPr="001A3CC7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Pr="001A3CC7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1A3CC7" w:rsidRDefault="005E2198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July 2016</w:t>
      </w:r>
      <w:r w:rsidR="00EF38CA" w:rsidRPr="001A3CC7">
        <w:rPr>
          <w:rFonts w:ascii="Verdana" w:hAnsi="Verdana" w:cs="Verdana"/>
          <w:b/>
          <w:sz w:val="20"/>
          <w:szCs w:val="20"/>
        </w:rPr>
        <w:t xml:space="preserve"> Mass Compensation Processing</w:t>
      </w:r>
      <w:r w:rsidR="00377242" w:rsidRPr="001A3CC7">
        <w:rPr>
          <w:rFonts w:ascii="Verdana" w:hAnsi="Verdana" w:cs="Verdana"/>
          <w:b/>
          <w:sz w:val="20"/>
          <w:szCs w:val="20"/>
        </w:rPr>
        <w:t> </w:t>
      </w:r>
      <w:r w:rsidR="00E9410C">
        <w:rPr>
          <w:rFonts w:ascii="Verdana" w:hAnsi="Verdana" w:cs="Verdana"/>
          <w:b/>
          <w:sz w:val="20"/>
          <w:szCs w:val="20"/>
        </w:rPr>
        <w:t>and Fiscal Year End Blackout Periods</w:t>
      </w:r>
    </w:p>
    <w:p w:rsidR="00685856" w:rsidRPr="001A3CC7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Default="00262C4D" w:rsidP="00010771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 w:rsidRPr="001A3CC7">
        <w:rPr>
          <w:rFonts w:ascii="Verdana" w:hAnsi="Verdana" w:cs="Verdana"/>
          <w:sz w:val="20"/>
          <w:szCs w:val="20"/>
        </w:rPr>
        <w:t>Information regarding</w:t>
      </w:r>
      <w:r w:rsidR="00EF38CA" w:rsidRPr="001A3CC7">
        <w:rPr>
          <w:rFonts w:ascii="Verdana" w:hAnsi="Verdana" w:cs="Verdana"/>
          <w:sz w:val="20"/>
          <w:szCs w:val="20"/>
        </w:rPr>
        <w:t xml:space="preserve"> the schedule for the J</w:t>
      </w:r>
      <w:r w:rsidR="00E9410C">
        <w:rPr>
          <w:rFonts w:ascii="Verdana" w:hAnsi="Verdana" w:cs="Verdana"/>
          <w:sz w:val="20"/>
          <w:szCs w:val="20"/>
        </w:rPr>
        <w:t>uly</w:t>
      </w:r>
      <w:r w:rsidR="005E2198">
        <w:rPr>
          <w:rFonts w:ascii="Verdana" w:hAnsi="Verdana" w:cs="Verdana"/>
          <w:sz w:val="20"/>
          <w:szCs w:val="20"/>
        </w:rPr>
        <w:t xml:space="preserve"> 2016</w:t>
      </w:r>
      <w:r w:rsidR="00EF38CA" w:rsidRPr="001A3CC7">
        <w:rPr>
          <w:rFonts w:ascii="Verdana" w:hAnsi="Verdana" w:cs="Verdana"/>
          <w:sz w:val="20"/>
          <w:szCs w:val="20"/>
        </w:rPr>
        <w:t xml:space="preserve"> mass compensation processing</w:t>
      </w:r>
      <w:r w:rsidR="00E9410C">
        <w:rPr>
          <w:rFonts w:ascii="Verdana" w:hAnsi="Verdana" w:cs="Verdana"/>
          <w:sz w:val="20"/>
          <w:szCs w:val="20"/>
        </w:rPr>
        <w:t xml:space="preserve"> and fiscal year end blackout periods</w:t>
      </w:r>
      <w:r w:rsidR="00534333">
        <w:rPr>
          <w:rFonts w:ascii="Verdana" w:hAnsi="Verdana" w:cs="Verdana"/>
          <w:sz w:val="20"/>
          <w:szCs w:val="20"/>
        </w:rPr>
        <w:t>.</w:t>
      </w:r>
    </w:p>
    <w:p w:rsidR="001E74DE" w:rsidRPr="001E74DE" w:rsidRDefault="001E74DE" w:rsidP="00010771">
      <w:pPr>
        <w:numPr>
          <w:ilvl w:val="0"/>
          <w:numId w:val="25"/>
        </w:numPr>
        <w:rPr>
          <w:rFonts w:ascii="Verdana" w:hAnsi="Verdana" w:cs="Verdana"/>
          <w:b/>
          <w:sz w:val="20"/>
          <w:szCs w:val="20"/>
        </w:rPr>
      </w:pPr>
      <w:r w:rsidRPr="001E74DE">
        <w:rPr>
          <w:rFonts w:ascii="Verdana" w:hAnsi="Verdana" w:cs="Verdana"/>
          <w:b/>
          <w:sz w:val="20"/>
          <w:szCs w:val="20"/>
        </w:rPr>
        <w:t>Revised Alert (06.28.2016):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The revision provides additional information regarding AFSCME job exclusions from the annual clothing allowance process.</w:t>
      </w:r>
    </w:p>
    <w:p w:rsidR="0019400E" w:rsidRPr="001A3CC7" w:rsidRDefault="0019400E" w:rsidP="000546A7">
      <w:pPr>
        <w:rPr>
          <w:rFonts w:ascii="Verdana" w:hAnsi="Verdana" w:cs="Verdana"/>
          <w:sz w:val="20"/>
          <w:szCs w:val="20"/>
        </w:rPr>
      </w:pPr>
    </w:p>
    <w:p w:rsidR="007117FC" w:rsidRPr="001A3CC7" w:rsidRDefault="007117FC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E9410C" w:rsidRPr="00404DF7" w:rsidRDefault="00E9410C" w:rsidP="00E9410C">
      <w:pPr>
        <w:rPr>
          <w:rFonts w:ascii="Verdana" w:hAnsi="Verdana" w:cs="Verdana"/>
          <w:b/>
          <w:sz w:val="20"/>
          <w:szCs w:val="20"/>
          <w:u w:val="single"/>
        </w:rPr>
      </w:pPr>
      <w:r w:rsidRPr="00A83AD0">
        <w:rPr>
          <w:rFonts w:ascii="Verdana" w:hAnsi="Verdana" w:cs="Verdana"/>
          <w:b/>
          <w:sz w:val="20"/>
          <w:szCs w:val="20"/>
          <w:u w:val="single"/>
        </w:rPr>
        <w:t>General Pay Increases (GPIs)</w:t>
      </w:r>
    </w:p>
    <w:p w:rsidR="00E9410C" w:rsidRDefault="009F0C62" w:rsidP="00E9410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</w:t>
      </w:r>
      <w:r w:rsidR="00534333">
        <w:rPr>
          <w:rFonts w:ascii="Verdana" w:hAnsi="Verdana" w:cs="Verdana"/>
          <w:sz w:val="20"/>
          <w:szCs w:val="20"/>
        </w:rPr>
        <w:t>eneral Pay I</w:t>
      </w:r>
      <w:r w:rsidR="00F657FB">
        <w:rPr>
          <w:rFonts w:ascii="Verdana" w:hAnsi="Verdana" w:cs="Verdana"/>
          <w:sz w:val="20"/>
          <w:szCs w:val="20"/>
        </w:rPr>
        <w:t xml:space="preserve">ncreases (GPIs) are </w:t>
      </w:r>
      <w:r w:rsidR="005E2198">
        <w:rPr>
          <w:rFonts w:ascii="Verdana" w:hAnsi="Verdana" w:cs="Verdana"/>
          <w:sz w:val="20"/>
          <w:szCs w:val="20"/>
        </w:rPr>
        <w:t>effective July 1, 2016</w:t>
      </w:r>
      <w:r w:rsidR="00F657FB">
        <w:rPr>
          <w:rFonts w:ascii="Verdana" w:hAnsi="Verdana" w:cs="Verdana"/>
          <w:sz w:val="20"/>
          <w:szCs w:val="20"/>
        </w:rPr>
        <w:t xml:space="preserve"> and</w:t>
      </w:r>
      <w:r w:rsidR="00E9410C">
        <w:rPr>
          <w:rFonts w:ascii="Verdana" w:hAnsi="Verdana" w:cs="Verdana"/>
          <w:sz w:val="20"/>
          <w:szCs w:val="20"/>
        </w:rPr>
        <w:t xml:space="preserve"> will process for eligible employees according to the following schedule:</w:t>
      </w:r>
    </w:p>
    <w:p w:rsidR="002A7FB7" w:rsidRPr="001A3CC7" w:rsidRDefault="002A7FB7" w:rsidP="00E56507">
      <w:pPr>
        <w:rPr>
          <w:rFonts w:ascii="Verdana" w:hAnsi="Verdana" w:cs="Verdana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080"/>
        <w:gridCol w:w="1710"/>
        <w:gridCol w:w="1710"/>
        <w:gridCol w:w="1800"/>
      </w:tblGrid>
      <w:tr w:rsidR="00B66B6D" w:rsidRPr="001A3CC7" w:rsidTr="005E2198">
        <w:trPr>
          <w:trHeight w:val="566"/>
        </w:trPr>
        <w:tc>
          <w:tcPr>
            <w:tcW w:w="3240" w:type="dxa"/>
            <w:shd w:val="clear" w:color="auto" w:fill="auto"/>
          </w:tcPr>
          <w:p w:rsidR="00B66B6D" w:rsidRPr="001A3CC7" w:rsidRDefault="00B66B6D" w:rsidP="00B51C90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1A3CC7">
              <w:rPr>
                <w:rFonts w:ascii="Verdana" w:hAnsi="Verdana"/>
                <w:b/>
                <w:sz w:val="20"/>
                <w:szCs w:val="20"/>
              </w:rPr>
              <w:t>Contract Name &amp; Bargaining Units</w:t>
            </w:r>
          </w:p>
        </w:tc>
        <w:tc>
          <w:tcPr>
            <w:tcW w:w="1080" w:type="dxa"/>
            <w:shd w:val="clear" w:color="auto" w:fill="auto"/>
          </w:tcPr>
          <w:p w:rsidR="00B66B6D" w:rsidRPr="001A3CC7" w:rsidRDefault="00B66B6D" w:rsidP="00B51C90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3CC7">
              <w:rPr>
                <w:rFonts w:ascii="Verdana" w:hAnsi="Verdana"/>
                <w:b/>
                <w:sz w:val="20"/>
                <w:szCs w:val="20"/>
              </w:rPr>
              <w:t>Pay Scale</w:t>
            </w:r>
          </w:p>
        </w:tc>
        <w:tc>
          <w:tcPr>
            <w:tcW w:w="1710" w:type="dxa"/>
          </w:tcPr>
          <w:p w:rsidR="00B66B6D" w:rsidRPr="001A3CC7" w:rsidRDefault="00B66B6D" w:rsidP="00B51C90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Percentage</w:t>
            </w:r>
          </w:p>
        </w:tc>
        <w:tc>
          <w:tcPr>
            <w:tcW w:w="1710" w:type="dxa"/>
          </w:tcPr>
          <w:p w:rsidR="00B66B6D" w:rsidRPr="001A3CC7" w:rsidRDefault="00B66B6D" w:rsidP="00B51C90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3CC7">
              <w:rPr>
                <w:rFonts w:ascii="Verdana" w:hAnsi="Verdana"/>
                <w:b/>
                <w:sz w:val="20"/>
                <w:szCs w:val="20"/>
              </w:rPr>
              <w:t>Processing Date(s)</w:t>
            </w:r>
          </w:p>
        </w:tc>
        <w:tc>
          <w:tcPr>
            <w:tcW w:w="1800" w:type="dxa"/>
          </w:tcPr>
          <w:p w:rsidR="00B66B6D" w:rsidRPr="001A3CC7" w:rsidRDefault="00B66B6D" w:rsidP="00B51C90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3CC7">
              <w:rPr>
                <w:rFonts w:ascii="Verdana" w:hAnsi="Verdana"/>
                <w:b/>
                <w:sz w:val="20"/>
                <w:szCs w:val="20"/>
              </w:rPr>
              <w:t>Pay Date(s)</w:t>
            </w:r>
          </w:p>
        </w:tc>
      </w:tr>
      <w:tr w:rsidR="005E2198" w:rsidRPr="001A3CC7" w:rsidTr="005E2198">
        <w:trPr>
          <w:trHeight w:val="845"/>
        </w:trPr>
        <w:tc>
          <w:tcPr>
            <w:tcW w:w="3240" w:type="dxa"/>
            <w:shd w:val="clear" w:color="auto" w:fill="auto"/>
            <w:vAlign w:val="center"/>
          </w:tcPr>
          <w:p w:rsidR="005E2198" w:rsidRDefault="005E2198" w:rsidP="009948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5E2198" w:rsidRDefault="005E2198" w:rsidP="009948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PSTA (L1)</w:t>
            </w:r>
          </w:p>
          <w:p w:rsidR="005E2198" w:rsidRPr="001A3CC7" w:rsidRDefault="005E2198" w:rsidP="009948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E2198" w:rsidRPr="001A3CC7" w:rsidRDefault="005E2198" w:rsidP="00B51C90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</w:t>
            </w:r>
          </w:p>
        </w:tc>
        <w:tc>
          <w:tcPr>
            <w:tcW w:w="1710" w:type="dxa"/>
            <w:vAlign w:val="center"/>
          </w:tcPr>
          <w:p w:rsidR="005E2198" w:rsidRDefault="005E2198" w:rsidP="00B66B6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3.00%</w:t>
            </w:r>
          </w:p>
        </w:tc>
        <w:tc>
          <w:tcPr>
            <w:tcW w:w="1710" w:type="dxa"/>
            <w:vMerge w:val="restart"/>
            <w:vAlign w:val="center"/>
          </w:tcPr>
          <w:p w:rsidR="00CD0BF1" w:rsidRPr="00CD0BF1" w:rsidRDefault="00CD0BF1" w:rsidP="005E219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0BF1">
              <w:rPr>
                <w:rFonts w:ascii="Verdana" w:hAnsi="Verdana"/>
                <w:b/>
                <w:sz w:val="20"/>
                <w:szCs w:val="20"/>
              </w:rPr>
              <w:t xml:space="preserve">All </w:t>
            </w:r>
            <w:r w:rsidR="00585D70">
              <w:rPr>
                <w:rFonts w:ascii="Verdana" w:hAnsi="Verdana"/>
                <w:b/>
                <w:sz w:val="20"/>
                <w:szCs w:val="20"/>
              </w:rPr>
              <w:t xml:space="preserve">Affected </w:t>
            </w:r>
            <w:r w:rsidRPr="00CD0BF1">
              <w:rPr>
                <w:rFonts w:ascii="Verdana" w:hAnsi="Verdana"/>
                <w:b/>
                <w:sz w:val="20"/>
                <w:szCs w:val="20"/>
              </w:rPr>
              <w:t>Pay Areas</w:t>
            </w:r>
          </w:p>
          <w:p w:rsidR="005E2198" w:rsidRPr="001A3CC7" w:rsidRDefault="005E2198" w:rsidP="005E2198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06/23/2016</w:t>
            </w:r>
          </w:p>
        </w:tc>
        <w:tc>
          <w:tcPr>
            <w:tcW w:w="1800" w:type="dxa"/>
            <w:vMerge w:val="restart"/>
            <w:vAlign w:val="center"/>
          </w:tcPr>
          <w:p w:rsidR="005E2198" w:rsidRDefault="005E2198" w:rsidP="00380AD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E2198" w:rsidRPr="0099489B" w:rsidRDefault="006005EF" w:rsidP="00380AD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Z1/</w:t>
            </w:r>
            <w:r w:rsidR="005E2198" w:rsidRPr="0099489B">
              <w:rPr>
                <w:rFonts w:ascii="Verdana" w:hAnsi="Verdana"/>
                <w:b/>
                <w:sz w:val="20"/>
                <w:szCs w:val="20"/>
              </w:rPr>
              <w:t>Z2</w:t>
            </w:r>
          </w:p>
          <w:p w:rsidR="005E2198" w:rsidRDefault="005E2198" w:rsidP="00A22030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</w:t>
            </w:r>
            <w:r w:rsidR="006005EF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</w:rPr>
              <w:t>/2016</w:t>
            </w:r>
          </w:p>
          <w:p w:rsidR="005E2198" w:rsidRDefault="005E2198" w:rsidP="00A22030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E2198" w:rsidRPr="0099489B" w:rsidRDefault="005E2198" w:rsidP="00380AD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9489B">
              <w:rPr>
                <w:rFonts w:ascii="Verdana" w:hAnsi="Verdana"/>
                <w:b/>
                <w:sz w:val="20"/>
                <w:szCs w:val="20"/>
              </w:rPr>
              <w:t>Z3</w:t>
            </w:r>
          </w:p>
          <w:p w:rsidR="005E2198" w:rsidRDefault="005E2198" w:rsidP="00380AD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</w:t>
            </w:r>
            <w:r w:rsidR="006005EF">
              <w:rPr>
                <w:rFonts w:ascii="Verdana" w:hAnsi="Verdana"/>
                <w:sz w:val="20"/>
                <w:szCs w:val="20"/>
              </w:rPr>
              <w:t>22</w:t>
            </w:r>
            <w:r>
              <w:rPr>
                <w:rFonts w:ascii="Verdana" w:hAnsi="Verdana"/>
                <w:sz w:val="20"/>
                <w:szCs w:val="20"/>
              </w:rPr>
              <w:t>/2016</w:t>
            </w:r>
          </w:p>
          <w:p w:rsidR="005E2198" w:rsidRPr="001A3CC7" w:rsidRDefault="005E2198" w:rsidP="00380AD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E2198" w:rsidRPr="001A3CC7" w:rsidTr="005E2198">
        <w:trPr>
          <w:trHeight w:val="846"/>
        </w:trPr>
        <w:tc>
          <w:tcPr>
            <w:tcW w:w="3240" w:type="dxa"/>
            <w:shd w:val="clear" w:color="auto" w:fill="auto"/>
            <w:vAlign w:val="center"/>
          </w:tcPr>
          <w:p w:rsidR="005E2198" w:rsidRDefault="005E2198" w:rsidP="009948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PSCOA (H1)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2198" w:rsidRDefault="005E2198" w:rsidP="00B51C90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</w:t>
            </w:r>
          </w:p>
        </w:tc>
        <w:tc>
          <w:tcPr>
            <w:tcW w:w="1710" w:type="dxa"/>
            <w:vAlign w:val="center"/>
          </w:tcPr>
          <w:p w:rsidR="005E2198" w:rsidRPr="001A3CC7" w:rsidRDefault="005E2198" w:rsidP="00B66B6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3.00%</w:t>
            </w:r>
          </w:p>
        </w:tc>
        <w:tc>
          <w:tcPr>
            <w:tcW w:w="1710" w:type="dxa"/>
            <w:vMerge/>
            <w:vAlign w:val="center"/>
          </w:tcPr>
          <w:p w:rsidR="005E2198" w:rsidRPr="001A3CC7" w:rsidRDefault="005E2198" w:rsidP="00380AD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2198" w:rsidRPr="001A3CC7" w:rsidRDefault="005E2198" w:rsidP="00380AD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E2198" w:rsidRPr="001A3CC7" w:rsidTr="005E2198">
        <w:trPr>
          <w:trHeight w:val="846"/>
        </w:trPr>
        <w:tc>
          <w:tcPr>
            <w:tcW w:w="3240" w:type="dxa"/>
            <w:shd w:val="clear" w:color="auto" w:fill="auto"/>
            <w:vAlign w:val="center"/>
          </w:tcPr>
          <w:p w:rsidR="005E2198" w:rsidRDefault="005E2198" w:rsidP="009948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AFSCME – Corrections Supervisory Unit (A2, J2, N2)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2198" w:rsidRDefault="005E2198" w:rsidP="00B51C90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</w:t>
            </w:r>
          </w:p>
        </w:tc>
        <w:tc>
          <w:tcPr>
            <w:tcW w:w="1710" w:type="dxa"/>
            <w:vAlign w:val="center"/>
          </w:tcPr>
          <w:p w:rsidR="005E2198" w:rsidRDefault="005E2198" w:rsidP="00B66B6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3.00%</w:t>
            </w:r>
          </w:p>
        </w:tc>
        <w:tc>
          <w:tcPr>
            <w:tcW w:w="1710" w:type="dxa"/>
            <w:vMerge/>
            <w:vAlign w:val="center"/>
          </w:tcPr>
          <w:p w:rsidR="005E2198" w:rsidRPr="001A3CC7" w:rsidRDefault="005E2198" w:rsidP="00380AD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2198" w:rsidRPr="001A3CC7" w:rsidRDefault="005E2198" w:rsidP="00380AD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410A6" w:rsidRPr="001A3CC7" w:rsidRDefault="005410A6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:rsidR="00746B36" w:rsidRDefault="00E9410C" w:rsidP="00E56507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July</w:t>
      </w:r>
      <w:r w:rsidR="006A6710">
        <w:rPr>
          <w:rFonts w:ascii="Verdana" w:hAnsi="Verdana" w:cs="Verdana"/>
          <w:b/>
          <w:sz w:val="20"/>
          <w:szCs w:val="20"/>
          <w:u w:val="single"/>
        </w:rPr>
        <w:t xml:space="preserve"> 2016</w:t>
      </w:r>
      <w:r w:rsidR="00011191" w:rsidRPr="001A3CC7">
        <w:rPr>
          <w:rFonts w:ascii="Verdana" w:hAnsi="Verdana" w:cs="Verdana"/>
          <w:b/>
          <w:sz w:val="20"/>
          <w:szCs w:val="20"/>
          <w:u w:val="single"/>
        </w:rPr>
        <w:t xml:space="preserve"> Monthly Enforcement Increments</w:t>
      </w:r>
    </w:p>
    <w:p w:rsidR="000546A7" w:rsidRPr="001A3CC7" w:rsidRDefault="000546A7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510"/>
        <w:gridCol w:w="3708"/>
      </w:tblGrid>
      <w:tr w:rsidR="00011191" w:rsidRPr="001A3CC7" w:rsidTr="009F6535">
        <w:trPr>
          <w:trHeight w:val="251"/>
        </w:trPr>
        <w:tc>
          <w:tcPr>
            <w:tcW w:w="2250" w:type="dxa"/>
            <w:shd w:val="clear" w:color="auto" w:fill="auto"/>
          </w:tcPr>
          <w:p w:rsidR="00011191" w:rsidRPr="00736D38" w:rsidRDefault="00011191" w:rsidP="00736D38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 Scale</w:t>
            </w:r>
          </w:p>
        </w:tc>
        <w:tc>
          <w:tcPr>
            <w:tcW w:w="3510" w:type="dxa"/>
            <w:shd w:val="clear" w:color="auto" w:fill="auto"/>
          </w:tcPr>
          <w:p w:rsidR="00011191" w:rsidRPr="00736D38" w:rsidRDefault="00011191" w:rsidP="00736D38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Effective Date(s)</w:t>
            </w:r>
          </w:p>
        </w:tc>
        <w:tc>
          <w:tcPr>
            <w:tcW w:w="3708" w:type="dxa"/>
            <w:shd w:val="clear" w:color="auto" w:fill="auto"/>
          </w:tcPr>
          <w:p w:rsidR="00011191" w:rsidRPr="00736D38" w:rsidRDefault="00011191" w:rsidP="00736D38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 Dates(s)</w:t>
            </w:r>
          </w:p>
        </w:tc>
      </w:tr>
      <w:tr w:rsidR="00E764FF" w:rsidRPr="001A3CC7" w:rsidTr="009F6535">
        <w:trPr>
          <w:trHeight w:val="1210"/>
        </w:trPr>
        <w:tc>
          <w:tcPr>
            <w:tcW w:w="2250" w:type="dxa"/>
            <w:shd w:val="clear" w:color="auto" w:fill="auto"/>
            <w:vAlign w:val="center"/>
          </w:tcPr>
          <w:p w:rsidR="00E764FF" w:rsidRPr="00736D38" w:rsidRDefault="00F32AB6" w:rsidP="00736D3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>CO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:rsidR="003E6AA2" w:rsidRDefault="003E6AA2" w:rsidP="009F653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9489B" w:rsidRPr="009F6535" w:rsidRDefault="0099489B" w:rsidP="009F6535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9F6535">
              <w:rPr>
                <w:rFonts w:ascii="Verdana" w:hAnsi="Verdana" w:cs="Verdana"/>
                <w:b/>
                <w:sz w:val="20"/>
                <w:szCs w:val="20"/>
              </w:rPr>
              <w:t>Z1</w:t>
            </w:r>
          </w:p>
          <w:p w:rsidR="009F6535" w:rsidRDefault="00216B48" w:rsidP="009F653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07/03/2016</w:t>
            </w:r>
          </w:p>
          <w:p w:rsidR="009F6535" w:rsidRDefault="009F6535" w:rsidP="009F653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9489B" w:rsidRPr="009F6535" w:rsidRDefault="0099489B" w:rsidP="009F6535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9F6535">
              <w:rPr>
                <w:rFonts w:ascii="Verdana" w:hAnsi="Verdana" w:cs="Verdana"/>
                <w:b/>
                <w:sz w:val="20"/>
                <w:szCs w:val="20"/>
              </w:rPr>
              <w:t>Z2</w:t>
            </w:r>
          </w:p>
          <w:p w:rsidR="009F6535" w:rsidRDefault="00216B48" w:rsidP="009F653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07/02/2016</w:t>
            </w:r>
          </w:p>
          <w:p w:rsidR="009F6535" w:rsidRDefault="009F6535" w:rsidP="009F653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9489B" w:rsidRPr="009F6535" w:rsidRDefault="0099489B" w:rsidP="009F6535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9F6535">
              <w:rPr>
                <w:rFonts w:ascii="Verdana" w:hAnsi="Verdana" w:cs="Verdana"/>
                <w:b/>
                <w:sz w:val="20"/>
                <w:szCs w:val="20"/>
              </w:rPr>
              <w:t>Z3</w:t>
            </w:r>
          </w:p>
          <w:p w:rsidR="009F6535" w:rsidRDefault="00216B48" w:rsidP="009F653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07/09/2016</w:t>
            </w:r>
          </w:p>
          <w:p w:rsidR="0099489B" w:rsidRPr="00736D38" w:rsidRDefault="0099489B" w:rsidP="009F653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:rsidR="008C274E" w:rsidRPr="009F6535" w:rsidRDefault="0099489B" w:rsidP="009F6535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9F6535">
              <w:rPr>
                <w:rFonts w:ascii="Verdana" w:hAnsi="Verdana" w:cs="Verdana"/>
                <w:b/>
                <w:sz w:val="20"/>
                <w:szCs w:val="20"/>
              </w:rPr>
              <w:t>Z1/Z2</w:t>
            </w:r>
          </w:p>
          <w:p w:rsidR="0099489B" w:rsidRDefault="00216B48" w:rsidP="009F653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07/29/2016</w:t>
            </w:r>
          </w:p>
          <w:p w:rsidR="009F6535" w:rsidRDefault="009F6535" w:rsidP="009F653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9489B" w:rsidRPr="009F6535" w:rsidRDefault="0099489B" w:rsidP="009F6535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9F6535">
              <w:rPr>
                <w:rFonts w:ascii="Verdana" w:hAnsi="Verdana" w:cs="Verdana"/>
                <w:b/>
                <w:sz w:val="20"/>
                <w:szCs w:val="20"/>
              </w:rPr>
              <w:t>Z3</w:t>
            </w:r>
          </w:p>
          <w:p w:rsidR="009F6535" w:rsidRPr="00736D38" w:rsidRDefault="00216B48" w:rsidP="009F653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08/05</w:t>
            </w:r>
            <w:r w:rsidR="009F6535">
              <w:rPr>
                <w:rFonts w:ascii="Verdana" w:hAnsi="Verdana" w:cs="Verdana"/>
                <w:sz w:val="20"/>
                <w:szCs w:val="20"/>
              </w:rPr>
              <w:t>/201</w:t>
            </w: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</w:tr>
      <w:tr w:rsidR="005E2198" w:rsidRPr="001A3CC7" w:rsidTr="009F6535">
        <w:trPr>
          <w:trHeight w:val="1210"/>
        </w:trPr>
        <w:tc>
          <w:tcPr>
            <w:tcW w:w="2250" w:type="dxa"/>
            <w:shd w:val="clear" w:color="auto" w:fill="auto"/>
            <w:vAlign w:val="center"/>
          </w:tcPr>
          <w:p w:rsidR="005E2198" w:rsidRPr="00736D38" w:rsidRDefault="005E2198" w:rsidP="00736D3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CS</w:t>
            </w:r>
          </w:p>
        </w:tc>
        <w:tc>
          <w:tcPr>
            <w:tcW w:w="3510" w:type="dxa"/>
            <w:vMerge/>
            <w:shd w:val="clear" w:color="auto" w:fill="auto"/>
            <w:vAlign w:val="center"/>
          </w:tcPr>
          <w:p w:rsidR="005E2198" w:rsidRDefault="005E2198" w:rsidP="009F653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708" w:type="dxa"/>
            <w:vMerge/>
            <w:shd w:val="clear" w:color="auto" w:fill="auto"/>
            <w:vAlign w:val="center"/>
          </w:tcPr>
          <w:p w:rsidR="005E2198" w:rsidRPr="009F6535" w:rsidRDefault="005E2198" w:rsidP="009F6535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A97AEA" w:rsidRPr="001A3CC7" w:rsidTr="008550BA">
        <w:trPr>
          <w:trHeight w:val="1241"/>
        </w:trPr>
        <w:tc>
          <w:tcPr>
            <w:tcW w:w="2250" w:type="dxa"/>
            <w:shd w:val="clear" w:color="auto" w:fill="auto"/>
            <w:vAlign w:val="center"/>
          </w:tcPr>
          <w:p w:rsidR="00A97AEA" w:rsidRPr="00736D38" w:rsidRDefault="00A97AEA" w:rsidP="00736D3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>SP</w:t>
            </w:r>
          </w:p>
        </w:tc>
        <w:tc>
          <w:tcPr>
            <w:tcW w:w="3510" w:type="dxa"/>
            <w:vMerge/>
            <w:shd w:val="clear" w:color="auto" w:fill="auto"/>
          </w:tcPr>
          <w:p w:rsidR="00A97AEA" w:rsidRPr="00736D38" w:rsidRDefault="00A97AEA" w:rsidP="00B51C90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:rsidR="00A97AEA" w:rsidRPr="00736D38" w:rsidRDefault="00A97AEA" w:rsidP="00B51C90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:rsidR="000546A7" w:rsidRDefault="000546A7" w:rsidP="00412A8D">
      <w:pPr>
        <w:rPr>
          <w:rFonts w:ascii="Verdana" w:hAnsi="Verdana" w:cs="Verdana"/>
          <w:sz w:val="20"/>
          <w:szCs w:val="20"/>
        </w:rPr>
      </w:pPr>
    </w:p>
    <w:p w:rsidR="00412A8D" w:rsidRDefault="0070056B" w:rsidP="00412A8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Bargaining Units L4 (FOP-Capitol Police Lodge) and R4 (PSRA) will be </w:t>
      </w:r>
      <w:r w:rsidRPr="0069151E">
        <w:rPr>
          <w:rFonts w:ascii="Verdana" w:hAnsi="Verdana" w:cs="Verdana"/>
          <w:b/>
          <w:sz w:val="20"/>
          <w:szCs w:val="20"/>
        </w:rPr>
        <w:t>excluded</w:t>
      </w:r>
      <w:r>
        <w:rPr>
          <w:rFonts w:ascii="Verdana" w:hAnsi="Verdana" w:cs="Verdana"/>
          <w:sz w:val="20"/>
          <w:szCs w:val="20"/>
        </w:rPr>
        <w:t xml:space="preserve"> from the</w:t>
      </w:r>
      <w:r w:rsidR="007448C8">
        <w:rPr>
          <w:rFonts w:ascii="Verdana" w:hAnsi="Verdana" w:cs="Verdana"/>
          <w:sz w:val="20"/>
          <w:szCs w:val="20"/>
        </w:rPr>
        <w:t xml:space="preserve"> July 2016</w:t>
      </w:r>
      <w:r w:rsidR="00413D08">
        <w:rPr>
          <w:rFonts w:ascii="Verdana" w:hAnsi="Verdana" w:cs="Verdana"/>
          <w:sz w:val="20"/>
          <w:szCs w:val="20"/>
        </w:rPr>
        <w:t xml:space="preserve"> </w:t>
      </w:r>
      <w:r w:rsidR="003B4C9C">
        <w:rPr>
          <w:rFonts w:ascii="Verdana" w:hAnsi="Verdana" w:cs="Verdana"/>
          <w:sz w:val="20"/>
          <w:szCs w:val="20"/>
        </w:rPr>
        <w:t>monthly en</w:t>
      </w:r>
      <w:r w:rsidR="00413D08">
        <w:rPr>
          <w:rFonts w:ascii="Verdana" w:hAnsi="Verdana" w:cs="Verdana"/>
          <w:sz w:val="20"/>
          <w:szCs w:val="20"/>
        </w:rPr>
        <w:t xml:space="preserve">forcement increment processing </w:t>
      </w:r>
      <w:r>
        <w:rPr>
          <w:rFonts w:ascii="Verdana" w:hAnsi="Verdana" w:cs="Verdana"/>
          <w:sz w:val="20"/>
          <w:szCs w:val="20"/>
        </w:rPr>
        <w:t xml:space="preserve">due to expired contracts as of </w:t>
      </w:r>
      <w:r w:rsidR="00E86CDA">
        <w:rPr>
          <w:rFonts w:ascii="Verdana" w:hAnsi="Verdana" w:cs="Verdana"/>
          <w:sz w:val="20"/>
          <w:szCs w:val="20"/>
        </w:rPr>
        <w:t>June 30, 2015.</w:t>
      </w:r>
      <w:r w:rsidR="00412A8D">
        <w:rPr>
          <w:rFonts w:ascii="Verdana" w:hAnsi="Verdana" w:cs="Verdana"/>
          <w:sz w:val="20"/>
          <w:szCs w:val="20"/>
        </w:rPr>
        <w:t xml:space="preserve"> </w:t>
      </w:r>
    </w:p>
    <w:p w:rsidR="00F657FB" w:rsidRDefault="00F657FB" w:rsidP="00011191">
      <w:pPr>
        <w:rPr>
          <w:rFonts w:ascii="Verdana" w:hAnsi="Verdana" w:cs="Verdana"/>
          <w:sz w:val="20"/>
          <w:szCs w:val="20"/>
        </w:rPr>
      </w:pPr>
    </w:p>
    <w:p w:rsidR="00E9410C" w:rsidRDefault="00E9410C" w:rsidP="00E9410C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Clothing Allowances</w:t>
      </w:r>
    </w:p>
    <w:p w:rsidR="00746B36" w:rsidRDefault="00B124D8" w:rsidP="00E9410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="00A97AEA">
        <w:rPr>
          <w:rFonts w:ascii="Verdana" w:hAnsi="Verdana" w:cs="Verdana"/>
          <w:sz w:val="20"/>
          <w:szCs w:val="20"/>
        </w:rPr>
        <w:t>lothing allowan</w:t>
      </w:r>
      <w:r w:rsidR="009D0D9E">
        <w:rPr>
          <w:rFonts w:ascii="Verdana" w:hAnsi="Verdana" w:cs="Verdana"/>
          <w:sz w:val="20"/>
          <w:szCs w:val="20"/>
        </w:rPr>
        <w:t>ce payments for Fiscal Year 2015-2016</w:t>
      </w:r>
      <w:r w:rsidR="004B475F">
        <w:rPr>
          <w:rFonts w:ascii="Verdana" w:hAnsi="Verdana" w:cs="Verdana"/>
          <w:sz w:val="20"/>
          <w:szCs w:val="20"/>
        </w:rPr>
        <w:t xml:space="preserve"> </w:t>
      </w:r>
      <w:r w:rsidR="00F657FB">
        <w:rPr>
          <w:rFonts w:ascii="Verdana" w:hAnsi="Verdana" w:cs="Verdana"/>
          <w:sz w:val="20"/>
          <w:szCs w:val="20"/>
        </w:rPr>
        <w:t xml:space="preserve">are effective June 30, 2016 and will </w:t>
      </w:r>
      <w:r w:rsidR="00A97AEA">
        <w:rPr>
          <w:rFonts w:ascii="Verdana" w:hAnsi="Verdana" w:cs="Verdana"/>
          <w:sz w:val="20"/>
          <w:szCs w:val="20"/>
        </w:rPr>
        <w:t>process for eligible employees according to the following schedule:</w:t>
      </w:r>
    </w:p>
    <w:p w:rsidR="00A22030" w:rsidRPr="00746B36" w:rsidRDefault="00A22030" w:rsidP="00E9410C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420"/>
        <w:gridCol w:w="1530"/>
      </w:tblGrid>
      <w:tr w:rsidR="00E9410C" w:rsidTr="007F3B12">
        <w:trPr>
          <w:jc w:val="center"/>
        </w:trPr>
        <w:tc>
          <w:tcPr>
            <w:tcW w:w="1620" w:type="dxa"/>
            <w:shd w:val="clear" w:color="auto" w:fill="auto"/>
          </w:tcPr>
          <w:p w:rsidR="00E9410C" w:rsidRPr="007F3B12" w:rsidRDefault="00E9410C" w:rsidP="007F3B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F3B12">
              <w:rPr>
                <w:rFonts w:ascii="Verdana" w:hAnsi="Verdana"/>
                <w:b/>
                <w:sz w:val="20"/>
                <w:szCs w:val="20"/>
              </w:rPr>
              <w:t>Payroll Area</w:t>
            </w:r>
          </w:p>
        </w:tc>
        <w:tc>
          <w:tcPr>
            <w:tcW w:w="3420" w:type="dxa"/>
            <w:shd w:val="clear" w:color="auto" w:fill="auto"/>
          </w:tcPr>
          <w:p w:rsidR="00E9410C" w:rsidRPr="007F3B12" w:rsidRDefault="00E9410C" w:rsidP="007F3B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F3B12">
              <w:rPr>
                <w:rFonts w:ascii="Verdana" w:hAnsi="Verdana"/>
                <w:b/>
                <w:sz w:val="20"/>
                <w:szCs w:val="20"/>
              </w:rPr>
              <w:t>Processing Dates</w:t>
            </w:r>
          </w:p>
        </w:tc>
        <w:tc>
          <w:tcPr>
            <w:tcW w:w="1530" w:type="dxa"/>
            <w:shd w:val="clear" w:color="auto" w:fill="auto"/>
          </w:tcPr>
          <w:p w:rsidR="00E9410C" w:rsidRPr="007F3B12" w:rsidRDefault="00E9410C" w:rsidP="007F3B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F3B12">
              <w:rPr>
                <w:rFonts w:ascii="Verdana" w:hAnsi="Verdana"/>
                <w:b/>
                <w:sz w:val="20"/>
                <w:szCs w:val="20"/>
              </w:rPr>
              <w:t>Pay Date</w:t>
            </w:r>
          </w:p>
        </w:tc>
      </w:tr>
      <w:tr w:rsidR="00E9410C" w:rsidTr="007F3B12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E9410C" w:rsidRPr="007F3B12" w:rsidRDefault="00E9410C" w:rsidP="007F3B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3B12">
              <w:rPr>
                <w:rFonts w:ascii="Verdana" w:hAnsi="Verdana"/>
                <w:sz w:val="20"/>
                <w:szCs w:val="20"/>
              </w:rPr>
              <w:t>Z1/Z2/T2</w:t>
            </w:r>
          </w:p>
        </w:tc>
        <w:tc>
          <w:tcPr>
            <w:tcW w:w="3420" w:type="dxa"/>
            <w:shd w:val="clear" w:color="auto" w:fill="auto"/>
          </w:tcPr>
          <w:p w:rsidR="00E9410C" w:rsidRPr="007F3B12" w:rsidRDefault="00E9410C" w:rsidP="002701E6">
            <w:pPr>
              <w:rPr>
                <w:rFonts w:ascii="Verdana" w:hAnsi="Verdana"/>
                <w:sz w:val="20"/>
                <w:szCs w:val="20"/>
              </w:rPr>
            </w:pPr>
            <w:r w:rsidRPr="007F3B12">
              <w:rPr>
                <w:rFonts w:ascii="Verdana" w:hAnsi="Verdana"/>
                <w:sz w:val="20"/>
                <w:szCs w:val="20"/>
              </w:rPr>
              <w:t xml:space="preserve">Non-update Mode: </w:t>
            </w:r>
            <w:r w:rsidR="00EB2EC5">
              <w:rPr>
                <w:rFonts w:ascii="Verdana" w:hAnsi="Verdana"/>
                <w:sz w:val="20"/>
                <w:szCs w:val="20"/>
              </w:rPr>
              <w:t>06/23/2016</w:t>
            </w:r>
          </w:p>
          <w:p w:rsidR="00E9410C" w:rsidRPr="007F3B12" w:rsidRDefault="00E9410C" w:rsidP="00851447">
            <w:pPr>
              <w:rPr>
                <w:rFonts w:ascii="Verdana" w:hAnsi="Verdana"/>
                <w:sz w:val="20"/>
                <w:szCs w:val="20"/>
              </w:rPr>
            </w:pPr>
            <w:r w:rsidRPr="007F3B12">
              <w:rPr>
                <w:rFonts w:ascii="Verdana" w:hAnsi="Verdana"/>
                <w:sz w:val="20"/>
                <w:szCs w:val="20"/>
              </w:rPr>
              <w:t xml:space="preserve">Update Mode: </w:t>
            </w:r>
            <w:r w:rsidR="009D0D9E">
              <w:rPr>
                <w:rFonts w:ascii="Verdana" w:hAnsi="Verdana"/>
                <w:sz w:val="20"/>
                <w:szCs w:val="20"/>
              </w:rPr>
              <w:t>06/30</w:t>
            </w:r>
            <w:r w:rsidR="00C147C5" w:rsidRPr="007F3B12">
              <w:rPr>
                <w:rFonts w:ascii="Verdana" w:hAnsi="Verdana"/>
                <w:sz w:val="20"/>
                <w:szCs w:val="20"/>
              </w:rPr>
              <w:t>/201</w:t>
            </w:r>
            <w:r w:rsidR="009D0D9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9410C" w:rsidRPr="007F3B12" w:rsidRDefault="009D0D9E" w:rsidP="007F3B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07/15</w:t>
            </w:r>
            <w:r w:rsidR="00A97AEA" w:rsidRPr="007F3B12">
              <w:rPr>
                <w:rFonts w:ascii="Verdana" w:hAnsi="Verdana"/>
                <w:sz w:val="20"/>
                <w:szCs w:val="20"/>
              </w:rPr>
              <w:t>/201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E9410C" w:rsidTr="007F3B12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E9410C" w:rsidRPr="007F3B12" w:rsidRDefault="00E9410C" w:rsidP="007F3B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3B12">
              <w:rPr>
                <w:rFonts w:ascii="Verdana" w:hAnsi="Verdana"/>
                <w:sz w:val="20"/>
                <w:szCs w:val="20"/>
              </w:rPr>
              <w:t>Z3/T3</w:t>
            </w:r>
          </w:p>
        </w:tc>
        <w:tc>
          <w:tcPr>
            <w:tcW w:w="3420" w:type="dxa"/>
            <w:shd w:val="clear" w:color="auto" w:fill="auto"/>
          </w:tcPr>
          <w:p w:rsidR="00E9410C" w:rsidRPr="007F3B12" w:rsidRDefault="00E9410C" w:rsidP="002701E6">
            <w:pPr>
              <w:rPr>
                <w:rFonts w:ascii="Verdana" w:hAnsi="Verdana"/>
                <w:sz w:val="20"/>
                <w:szCs w:val="20"/>
              </w:rPr>
            </w:pPr>
            <w:r w:rsidRPr="007F3B12">
              <w:rPr>
                <w:rFonts w:ascii="Verdana" w:hAnsi="Verdana"/>
                <w:sz w:val="20"/>
                <w:szCs w:val="20"/>
              </w:rPr>
              <w:t xml:space="preserve">Non-update Mode: </w:t>
            </w:r>
            <w:r w:rsidR="00EB2EC5">
              <w:rPr>
                <w:rFonts w:ascii="Verdana" w:hAnsi="Verdana"/>
                <w:sz w:val="20"/>
                <w:szCs w:val="20"/>
              </w:rPr>
              <w:t>06/23/2016</w:t>
            </w:r>
          </w:p>
          <w:p w:rsidR="00E9410C" w:rsidRPr="007F3B12" w:rsidRDefault="00E9410C" w:rsidP="009D0D9E">
            <w:pPr>
              <w:rPr>
                <w:rFonts w:ascii="Verdana" w:hAnsi="Verdana"/>
                <w:sz w:val="20"/>
                <w:szCs w:val="20"/>
              </w:rPr>
            </w:pPr>
            <w:r w:rsidRPr="007F3B12">
              <w:rPr>
                <w:rFonts w:ascii="Verdana" w:hAnsi="Verdana"/>
                <w:sz w:val="20"/>
                <w:szCs w:val="20"/>
              </w:rPr>
              <w:t xml:space="preserve">Update Mode: </w:t>
            </w:r>
            <w:r w:rsidR="00C147C5" w:rsidRPr="007F3B12">
              <w:rPr>
                <w:rFonts w:ascii="Verdana" w:hAnsi="Verdana"/>
                <w:sz w:val="20"/>
                <w:szCs w:val="20"/>
              </w:rPr>
              <w:t>0</w:t>
            </w:r>
            <w:r w:rsidR="009D0D9E">
              <w:rPr>
                <w:rFonts w:ascii="Verdana" w:hAnsi="Verdana"/>
                <w:sz w:val="20"/>
                <w:szCs w:val="20"/>
              </w:rPr>
              <w:t>6/30/2016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9410C" w:rsidRPr="007F3B12" w:rsidRDefault="009D0D9E" w:rsidP="007F3B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07/22</w:t>
            </w:r>
            <w:r w:rsidR="00A97AEA" w:rsidRPr="007F3B12">
              <w:rPr>
                <w:rFonts w:ascii="Verdana" w:hAnsi="Verdana"/>
                <w:sz w:val="20"/>
                <w:szCs w:val="20"/>
              </w:rPr>
              <w:t>/201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</w:tbl>
    <w:p w:rsidR="00842703" w:rsidRDefault="00842703" w:rsidP="00011191">
      <w:pPr>
        <w:rPr>
          <w:rFonts w:ascii="Verdana" w:hAnsi="Verdana" w:cs="Verdana"/>
          <w:b/>
          <w:sz w:val="20"/>
          <w:szCs w:val="20"/>
        </w:rPr>
      </w:pPr>
    </w:p>
    <w:p w:rsidR="004106F5" w:rsidRDefault="0058665A" w:rsidP="0001119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Employees</w:t>
      </w:r>
      <w:r w:rsidR="009A1228">
        <w:rPr>
          <w:rFonts w:ascii="Verdana" w:hAnsi="Verdana" w:cs="Verdana"/>
          <w:sz w:val="20"/>
          <w:szCs w:val="20"/>
        </w:rPr>
        <w:t xml:space="preserve"> in bargaining units R4 and R3 will be </w:t>
      </w:r>
      <w:r w:rsidR="009A1228" w:rsidRPr="0069151E">
        <w:rPr>
          <w:rFonts w:ascii="Verdana" w:hAnsi="Verdana" w:cs="Verdana"/>
          <w:b/>
          <w:sz w:val="20"/>
          <w:szCs w:val="20"/>
        </w:rPr>
        <w:t>excluded</w:t>
      </w:r>
      <w:r w:rsidR="009A1228">
        <w:rPr>
          <w:rFonts w:ascii="Verdana" w:hAnsi="Verdana" w:cs="Verdana"/>
          <w:sz w:val="20"/>
          <w:szCs w:val="20"/>
        </w:rPr>
        <w:t xml:space="preserve"> from the annual clothing allowance process due to </w:t>
      </w:r>
      <w:r>
        <w:rPr>
          <w:rFonts w:ascii="Verdana" w:hAnsi="Verdana" w:cs="Verdana"/>
          <w:sz w:val="20"/>
          <w:szCs w:val="20"/>
        </w:rPr>
        <w:t>an</w:t>
      </w:r>
      <w:r w:rsidR="00D545C5">
        <w:rPr>
          <w:rFonts w:ascii="Verdana" w:hAnsi="Verdana" w:cs="Verdana"/>
          <w:sz w:val="20"/>
          <w:szCs w:val="20"/>
        </w:rPr>
        <w:t xml:space="preserve"> expired PSRA contract</w:t>
      </w:r>
      <w:r w:rsidR="00F657FB">
        <w:rPr>
          <w:rFonts w:ascii="Verdana" w:hAnsi="Verdana" w:cs="Verdana"/>
          <w:sz w:val="20"/>
          <w:szCs w:val="20"/>
        </w:rPr>
        <w:t xml:space="preserve"> as of June 30, 2015</w:t>
      </w:r>
      <w:r w:rsidR="009A1228">
        <w:rPr>
          <w:rFonts w:ascii="Verdana" w:hAnsi="Verdana" w:cs="Verdana"/>
          <w:sz w:val="20"/>
          <w:szCs w:val="20"/>
        </w:rPr>
        <w:t>.</w:t>
      </w:r>
    </w:p>
    <w:p w:rsidR="00A55CE8" w:rsidRDefault="00A55CE8" w:rsidP="00011191">
      <w:pPr>
        <w:rPr>
          <w:rFonts w:ascii="Verdana" w:hAnsi="Verdana" w:cs="Verdana"/>
          <w:sz w:val="20"/>
          <w:szCs w:val="20"/>
        </w:rPr>
      </w:pPr>
    </w:p>
    <w:p w:rsidR="00A55CE8" w:rsidRPr="00EF6902" w:rsidRDefault="00C66126" w:rsidP="00011191">
      <w:pPr>
        <w:rPr>
          <w:rFonts w:ascii="Verdana" w:hAnsi="Verdana" w:cs="Verdana"/>
          <w:sz w:val="20"/>
          <w:szCs w:val="20"/>
        </w:rPr>
      </w:pPr>
      <w:r w:rsidRPr="00EF6902">
        <w:rPr>
          <w:rFonts w:ascii="Verdana" w:hAnsi="Verdana" w:cs="Verdana"/>
          <w:sz w:val="20"/>
          <w:szCs w:val="20"/>
        </w:rPr>
        <w:t>The OA, Bureau of Labor Relations has advised that t</w:t>
      </w:r>
      <w:r w:rsidR="00A55CE8" w:rsidRPr="00EF6902">
        <w:rPr>
          <w:rFonts w:ascii="Verdana" w:hAnsi="Verdana" w:cs="Verdana"/>
          <w:sz w:val="20"/>
          <w:szCs w:val="20"/>
        </w:rPr>
        <w:t xml:space="preserve">he following AFSCME job classifications previously considered eligible for payment will be </w:t>
      </w:r>
      <w:r w:rsidR="00A55CE8" w:rsidRPr="00EF6902">
        <w:rPr>
          <w:rFonts w:ascii="Verdana" w:hAnsi="Verdana" w:cs="Verdana"/>
          <w:b/>
          <w:sz w:val="20"/>
          <w:szCs w:val="20"/>
        </w:rPr>
        <w:t xml:space="preserve">excluded </w:t>
      </w:r>
      <w:r w:rsidR="00A55CE8" w:rsidRPr="00EF6902">
        <w:rPr>
          <w:rFonts w:ascii="Verdana" w:hAnsi="Verdana" w:cs="Verdana"/>
          <w:sz w:val="20"/>
          <w:szCs w:val="20"/>
        </w:rPr>
        <w:t>from the annual clothing allowance process:</w:t>
      </w:r>
    </w:p>
    <w:p w:rsidR="00A55CE8" w:rsidRPr="00EF6902" w:rsidRDefault="00A55CE8" w:rsidP="00A55CE8">
      <w:pPr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EF6902">
        <w:rPr>
          <w:rFonts w:ascii="Verdana" w:hAnsi="Verdana" w:cs="Verdana"/>
          <w:sz w:val="20"/>
          <w:szCs w:val="20"/>
        </w:rPr>
        <w:t>Job Code 05942 – Tourist Information Counselor</w:t>
      </w:r>
    </w:p>
    <w:p w:rsidR="00A55CE8" w:rsidRPr="00EF6902" w:rsidRDefault="00A55CE8" w:rsidP="00A55CE8">
      <w:pPr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EF6902">
        <w:rPr>
          <w:rFonts w:ascii="Verdana" w:hAnsi="Verdana" w:cs="Verdana"/>
          <w:sz w:val="20"/>
          <w:szCs w:val="20"/>
        </w:rPr>
        <w:t>Job Code 05943 – Tourist Information Supervisor</w:t>
      </w:r>
    </w:p>
    <w:p w:rsidR="00A55CE8" w:rsidRPr="00EF6902" w:rsidRDefault="00A55CE8" w:rsidP="00A55CE8">
      <w:pPr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EF6902">
        <w:rPr>
          <w:rFonts w:ascii="Verdana" w:hAnsi="Verdana" w:cs="Verdana"/>
          <w:sz w:val="20"/>
          <w:szCs w:val="20"/>
        </w:rPr>
        <w:t>Job Code 93090 – Motor Vehicle Program Inspector</w:t>
      </w:r>
    </w:p>
    <w:p w:rsidR="00A55CE8" w:rsidRPr="00EF6902" w:rsidRDefault="00A55CE8" w:rsidP="00A55CE8">
      <w:pPr>
        <w:rPr>
          <w:rFonts w:ascii="Verdana" w:hAnsi="Verdana" w:cs="Verdana"/>
          <w:sz w:val="20"/>
          <w:szCs w:val="20"/>
        </w:rPr>
      </w:pPr>
    </w:p>
    <w:p w:rsidR="00A55CE8" w:rsidRDefault="00C66126" w:rsidP="00A55CE8">
      <w:pPr>
        <w:rPr>
          <w:rFonts w:ascii="Verdana" w:hAnsi="Verdana" w:cs="Verdana"/>
          <w:sz w:val="20"/>
          <w:szCs w:val="20"/>
        </w:rPr>
      </w:pPr>
      <w:r w:rsidRPr="00EF6902">
        <w:rPr>
          <w:rFonts w:ascii="Verdana" w:hAnsi="Verdana" w:cs="Verdana"/>
          <w:sz w:val="20"/>
          <w:szCs w:val="20"/>
        </w:rPr>
        <w:t>The</w:t>
      </w:r>
      <w:r w:rsidR="00A55CE8" w:rsidRPr="00EF6902">
        <w:rPr>
          <w:rFonts w:ascii="Verdana" w:hAnsi="Verdana" w:cs="Verdana"/>
          <w:sz w:val="20"/>
          <w:szCs w:val="20"/>
        </w:rPr>
        <w:t xml:space="preserve"> </w:t>
      </w:r>
      <w:r w:rsidR="00E032E7" w:rsidRPr="00EF6902">
        <w:rPr>
          <w:rFonts w:ascii="Verdana" w:hAnsi="Verdana" w:cs="Verdana"/>
          <w:sz w:val="20"/>
          <w:szCs w:val="20"/>
        </w:rPr>
        <w:t xml:space="preserve">AFSCME </w:t>
      </w:r>
      <w:r w:rsidR="00A55CE8" w:rsidRPr="00EF6902">
        <w:rPr>
          <w:rFonts w:ascii="Verdana" w:hAnsi="Verdana" w:cs="Verdana"/>
          <w:sz w:val="20"/>
          <w:szCs w:val="20"/>
        </w:rPr>
        <w:t xml:space="preserve">Master Agreement and Memorandum do not contain any language </w:t>
      </w:r>
      <w:r w:rsidRPr="00EF6902">
        <w:rPr>
          <w:rFonts w:ascii="Verdana" w:hAnsi="Verdana" w:cs="Verdana"/>
          <w:sz w:val="20"/>
          <w:szCs w:val="20"/>
        </w:rPr>
        <w:t>stipulating</w:t>
      </w:r>
      <w:r w:rsidR="00A55CE8" w:rsidRPr="00EF6902">
        <w:rPr>
          <w:rFonts w:ascii="Verdana" w:hAnsi="Verdana" w:cs="Verdana"/>
          <w:sz w:val="20"/>
          <w:szCs w:val="20"/>
        </w:rPr>
        <w:t xml:space="preserve"> payment nor are there any contractual side letter agreements pr</w:t>
      </w:r>
      <w:r w:rsidRPr="00EF6902">
        <w:rPr>
          <w:rFonts w:ascii="Verdana" w:hAnsi="Verdana" w:cs="Verdana"/>
          <w:sz w:val="20"/>
          <w:szCs w:val="20"/>
        </w:rPr>
        <w:t>escribing</w:t>
      </w:r>
      <w:r w:rsidR="00A55CE8" w:rsidRPr="00EF6902">
        <w:rPr>
          <w:rFonts w:ascii="Verdana" w:hAnsi="Verdana" w:cs="Verdana"/>
          <w:sz w:val="20"/>
          <w:szCs w:val="20"/>
        </w:rPr>
        <w:t xml:space="preserve"> payment to employees who hold these job classifications.</w:t>
      </w:r>
    </w:p>
    <w:p w:rsidR="008E060C" w:rsidRDefault="008E060C" w:rsidP="00011191">
      <w:pPr>
        <w:rPr>
          <w:rFonts w:ascii="Verdana" w:hAnsi="Verdana" w:cs="Verdana"/>
          <w:sz w:val="20"/>
          <w:szCs w:val="20"/>
        </w:rPr>
      </w:pPr>
    </w:p>
    <w:p w:rsidR="00A55CE8" w:rsidRDefault="008E060C" w:rsidP="0001119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Please keep in mind that </w:t>
      </w:r>
      <w:r w:rsidR="000546A7">
        <w:rPr>
          <w:rFonts w:ascii="Verdana" w:hAnsi="Verdana" w:cs="Verdana"/>
          <w:sz w:val="20"/>
          <w:szCs w:val="20"/>
        </w:rPr>
        <w:t>clothing allowance payments are calculated</w:t>
      </w:r>
      <w:r>
        <w:rPr>
          <w:rFonts w:ascii="Verdana" w:hAnsi="Verdana" w:cs="Verdana"/>
          <w:sz w:val="20"/>
          <w:szCs w:val="20"/>
        </w:rPr>
        <w:t xml:space="preserve"> based on the</w:t>
      </w:r>
      <w:r w:rsidR="000B532F">
        <w:rPr>
          <w:rFonts w:ascii="Verdana" w:hAnsi="Verdana" w:cs="Verdana"/>
          <w:sz w:val="20"/>
          <w:szCs w:val="20"/>
        </w:rPr>
        <w:t xml:space="preserve"> employee’s</w:t>
      </w:r>
      <w:r>
        <w:rPr>
          <w:rFonts w:ascii="Verdana" w:hAnsi="Verdana" w:cs="Verdana"/>
          <w:sz w:val="20"/>
          <w:szCs w:val="20"/>
        </w:rPr>
        <w:t xml:space="preserve"> eligible work hours in effect when the program runs.  Agencies should ensure that all work hours through June 30, 2016 are entered and approved</w:t>
      </w:r>
      <w:r w:rsidR="000B532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prior to the production </w:t>
      </w:r>
      <w:r w:rsidR="000546A7">
        <w:rPr>
          <w:rFonts w:ascii="Verdana" w:hAnsi="Verdana" w:cs="Verdana"/>
          <w:sz w:val="20"/>
          <w:szCs w:val="20"/>
        </w:rPr>
        <w:t>run or the employee could be underpaid</w:t>
      </w:r>
      <w:r w:rsidR="0097107E">
        <w:rPr>
          <w:rFonts w:ascii="Verdana" w:hAnsi="Verdana" w:cs="Verdana"/>
          <w:sz w:val="20"/>
          <w:szCs w:val="20"/>
        </w:rPr>
        <w:t>.</w:t>
      </w:r>
    </w:p>
    <w:p w:rsidR="0097107E" w:rsidRDefault="0097107E" w:rsidP="00011191">
      <w:pPr>
        <w:rPr>
          <w:rFonts w:ascii="Verdana" w:hAnsi="Verdana" w:cs="Verdana"/>
          <w:sz w:val="20"/>
          <w:szCs w:val="20"/>
        </w:rPr>
      </w:pPr>
    </w:p>
    <w:p w:rsidR="00052302" w:rsidRDefault="00052302" w:rsidP="00011191">
      <w:pPr>
        <w:rPr>
          <w:rFonts w:ascii="Verdana" w:hAnsi="Verdana" w:cs="Verdana"/>
          <w:b/>
          <w:sz w:val="20"/>
          <w:szCs w:val="20"/>
          <w:u w:val="single"/>
        </w:rPr>
      </w:pPr>
      <w:r w:rsidRPr="00052302">
        <w:rPr>
          <w:rFonts w:ascii="Verdana" w:hAnsi="Verdana" w:cs="Verdana"/>
          <w:b/>
          <w:sz w:val="20"/>
          <w:szCs w:val="20"/>
          <w:u w:val="single"/>
        </w:rPr>
        <w:t>Nurse Certification Payments</w:t>
      </w:r>
    </w:p>
    <w:p w:rsidR="00173A66" w:rsidRDefault="00A9499C" w:rsidP="0001119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 w:rsidR="004601B6">
        <w:rPr>
          <w:rFonts w:ascii="Verdana" w:hAnsi="Verdana" w:cs="Verdana"/>
          <w:sz w:val="20"/>
          <w:szCs w:val="20"/>
        </w:rPr>
        <w:t>collective bargaining agreements</w:t>
      </w:r>
      <w:r w:rsidR="009B4264">
        <w:rPr>
          <w:rFonts w:ascii="Verdana" w:hAnsi="Verdana" w:cs="Verdana"/>
          <w:sz w:val="20"/>
          <w:szCs w:val="20"/>
        </w:rPr>
        <w:t xml:space="preserve"> covering</w:t>
      </w:r>
      <w:r>
        <w:rPr>
          <w:rFonts w:ascii="Verdana" w:hAnsi="Verdana" w:cs="Verdana"/>
          <w:sz w:val="20"/>
          <w:szCs w:val="20"/>
        </w:rPr>
        <w:t xml:space="preserve"> employees in bargaining units P4 (</w:t>
      </w:r>
      <w:r w:rsidRPr="00F33355">
        <w:rPr>
          <w:rFonts w:ascii="Verdana" w:hAnsi="Verdana" w:cs="Verdana"/>
          <w:sz w:val="20"/>
          <w:szCs w:val="20"/>
        </w:rPr>
        <w:t>SEIU – Healthcare PA</w:t>
      </w:r>
      <w:r>
        <w:rPr>
          <w:rFonts w:ascii="Verdana" w:hAnsi="Verdana" w:cs="Verdana"/>
          <w:sz w:val="20"/>
          <w:szCs w:val="20"/>
        </w:rPr>
        <w:t>) and P5 (</w:t>
      </w:r>
      <w:r w:rsidRPr="00F33355">
        <w:rPr>
          <w:rFonts w:ascii="Verdana" w:hAnsi="Verdana" w:cs="Verdana"/>
          <w:sz w:val="20"/>
          <w:szCs w:val="20"/>
        </w:rPr>
        <w:t>OPEIU – Healthcare PA</w:t>
      </w:r>
      <w:r>
        <w:rPr>
          <w:rFonts w:ascii="Verdana" w:hAnsi="Verdana" w:cs="Verdana"/>
          <w:sz w:val="20"/>
          <w:szCs w:val="20"/>
        </w:rPr>
        <w:t>) are schedu</w:t>
      </w:r>
      <w:r w:rsidR="009B4264">
        <w:rPr>
          <w:rFonts w:ascii="Verdana" w:hAnsi="Verdana" w:cs="Verdana"/>
          <w:sz w:val="20"/>
          <w:szCs w:val="20"/>
        </w:rPr>
        <w:t>led to expire on June 30, 2016. A</w:t>
      </w:r>
      <w:r w:rsidR="00B07EE3">
        <w:rPr>
          <w:rFonts w:ascii="Verdana" w:hAnsi="Verdana" w:cs="Verdana"/>
          <w:sz w:val="20"/>
          <w:szCs w:val="20"/>
        </w:rPr>
        <w:t xml:space="preserve"> final agreement </w:t>
      </w:r>
      <w:r w:rsidR="009B4264">
        <w:rPr>
          <w:rFonts w:ascii="Verdana" w:hAnsi="Verdana" w:cs="Verdana"/>
          <w:sz w:val="20"/>
          <w:szCs w:val="20"/>
        </w:rPr>
        <w:t>on a</w:t>
      </w:r>
      <w:r w:rsidR="00B07EE3">
        <w:rPr>
          <w:rFonts w:ascii="Verdana" w:hAnsi="Verdana" w:cs="Verdana"/>
          <w:sz w:val="20"/>
          <w:szCs w:val="20"/>
        </w:rPr>
        <w:t xml:space="preserve"> new contract</w:t>
      </w:r>
      <w:r w:rsidR="0058665A">
        <w:rPr>
          <w:rFonts w:ascii="Verdana" w:hAnsi="Verdana" w:cs="Verdana"/>
          <w:sz w:val="20"/>
          <w:szCs w:val="20"/>
        </w:rPr>
        <w:t xml:space="preserve"> authorizing nurse c</w:t>
      </w:r>
      <w:r w:rsidR="009B4264">
        <w:rPr>
          <w:rFonts w:ascii="Verdana" w:hAnsi="Verdana" w:cs="Verdana"/>
          <w:sz w:val="20"/>
          <w:szCs w:val="20"/>
        </w:rPr>
        <w:t xml:space="preserve">ertification </w:t>
      </w:r>
      <w:r w:rsidR="0058665A">
        <w:rPr>
          <w:rFonts w:ascii="Verdana" w:hAnsi="Verdana" w:cs="Verdana"/>
          <w:sz w:val="20"/>
          <w:szCs w:val="20"/>
        </w:rPr>
        <w:t>p</w:t>
      </w:r>
      <w:r w:rsidR="009B4264">
        <w:rPr>
          <w:rFonts w:ascii="Verdana" w:hAnsi="Verdana" w:cs="Verdana"/>
          <w:sz w:val="20"/>
          <w:szCs w:val="20"/>
        </w:rPr>
        <w:t>ayments for July 2016</w:t>
      </w:r>
      <w:r w:rsidR="00B07EE3">
        <w:rPr>
          <w:rFonts w:ascii="Verdana" w:hAnsi="Verdana" w:cs="Verdana"/>
          <w:sz w:val="20"/>
          <w:szCs w:val="20"/>
        </w:rPr>
        <w:t xml:space="preserve"> has </w:t>
      </w:r>
      <w:r w:rsidR="00B07EE3" w:rsidRPr="0069151E">
        <w:rPr>
          <w:rFonts w:ascii="Verdana" w:hAnsi="Verdana" w:cs="Verdana"/>
          <w:b/>
          <w:sz w:val="20"/>
          <w:szCs w:val="20"/>
        </w:rPr>
        <w:t>not</w:t>
      </w:r>
      <w:r w:rsidR="00B07EE3">
        <w:rPr>
          <w:rFonts w:ascii="Verdana" w:hAnsi="Verdana" w:cs="Verdana"/>
          <w:sz w:val="20"/>
          <w:szCs w:val="20"/>
        </w:rPr>
        <w:t xml:space="preserve"> been reac</w:t>
      </w:r>
      <w:r w:rsidR="009B4264">
        <w:rPr>
          <w:rFonts w:ascii="Verdana" w:hAnsi="Verdana" w:cs="Verdana"/>
          <w:sz w:val="20"/>
          <w:szCs w:val="20"/>
        </w:rPr>
        <w:t>hed.</w:t>
      </w:r>
    </w:p>
    <w:p w:rsidR="009B4264" w:rsidRDefault="009B4264" w:rsidP="00011191">
      <w:pPr>
        <w:rPr>
          <w:rFonts w:ascii="Verdana" w:hAnsi="Verdana" w:cs="Verdana"/>
          <w:sz w:val="20"/>
          <w:szCs w:val="20"/>
        </w:rPr>
      </w:pPr>
    </w:p>
    <w:p w:rsidR="004601B6" w:rsidRDefault="003D3472" w:rsidP="0001119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However, agencies</w:t>
      </w:r>
      <w:r w:rsidR="00173A66">
        <w:rPr>
          <w:rFonts w:ascii="Verdana" w:hAnsi="Verdana" w:cs="Verdana"/>
          <w:sz w:val="20"/>
          <w:szCs w:val="20"/>
        </w:rPr>
        <w:t xml:space="preserve"> </w:t>
      </w:r>
      <w:r w:rsidR="009B4264">
        <w:rPr>
          <w:rFonts w:ascii="Verdana" w:hAnsi="Verdana" w:cs="Verdana"/>
          <w:sz w:val="20"/>
          <w:szCs w:val="20"/>
        </w:rPr>
        <w:t>should still submit</w:t>
      </w:r>
      <w:r w:rsidR="004601B6">
        <w:rPr>
          <w:rFonts w:ascii="Verdana" w:hAnsi="Verdana" w:cs="Verdana"/>
          <w:sz w:val="20"/>
          <w:szCs w:val="20"/>
        </w:rPr>
        <w:t xml:space="preserve"> </w:t>
      </w:r>
      <w:hyperlink r:id="rId8" w:history="1">
        <w:r w:rsidR="004601B6" w:rsidRPr="009B4264">
          <w:rPr>
            <w:rStyle w:val="Hyperlink"/>
            <w:rFonts w:ascii="Verdana" w:hAnsi="Verdana" w:cs="Verdana"/>
            <w:sz w:val="20"/>
            <w:szCs w:val="20"/>
          </w:rPr>
          <w:t>e-PARs</w:t>
        </w:r>
      </w:hyperlink>
      <w:r w:rsidR="00173A66">
        <w:rPr>
          <w:rFonts w:ascii="Verdana" w:hAnsi="Verdana" w:cs="Verdana"/>
          <w:sz w:val="20"/>
          <w:szCs w:val="20"/>
        </w:rPr>
        <w:t xml:space="preserve"> to the HR Service Center</w:t>
      </w:r>
      <w:r w:rsidR="004601B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</w:t>
      </w:r>
      <w:r w:rsidR="0058665A">
        <w:rPr>
          <w:rFonts w:ascii="Verdana" w:hAnsi="Verdana" w:cs="Verdana"/>
          <w:sz w:val="20"/>
          <w:szCs w:val="20"/>
        </w:rPr>
        <w:t xml:space="preserve"> n</w:t>
      </w:r>
      <w:r w:rsidR="00013B7C">
        <w:rPr>
          <w:rFonts w:ascii="Verdana" w:hAnsi="Verdana" w:cs="Verdana"/>
          <w:sz w:val="20"/>
          <w:szCs w:val="20"/>
        </w:rPr>
        <w:t xml:space="preserve">urse certification payments that are </w:t>
      </w:r>
      <w:r w:rsidR="004601B6">
        <w:rPr>
          <w:rFonts w:ascii="Verdana" w:hAnsi="Verdana" w:cs="Verdana"/>
          <w:sz w:val="20"/>
          <w:szCs w:val="20"/>
        </w:rPr>
        <w:t xml:space="preserve">effective July 1, 2016. </w:t>
      </w:r>
      <w:r>
        <w:rPr>
          <w:rFonts w:ascii="Verdana" w:hAnsi="Verdana" w:cs="Verdana"/>
          <w:sz w:val="20"/>
          <w:szCs w:val="20"/>
        </w:rPr>
        <w:t>The HR Service Center will hold all requests until advised by the OA, Bureau of Labor Relations that processing can occur.</w:t>
      </w:r>
    </w:p>
    <w:p w:rsidR="003D3472" w:rsidRDefault="003D3472" w:rsidP="00011191">
      <w:pPr>
        <w:rPr>
          <w:rFonts w:ascii="Verdana" w:hAnsi="Verdana" w:cs="Verdana"/>
          <w:sz w:val="20"/>
          <w:szCs w:val="20"/>
        </w:rPr>
      </w:pPr>
    </w:p>
    <w:p w:rsidR="00D81501" w:rsidRPr="0069151E" w:rsidRDefault="00D81501" w:rsidP="00011191">
      <w:pPr>
        <w:rPr>
          <w:rFonts w:ascii="Verdana" w:hAnsi="Verdana" w:cs="Verdana"/>
          <w:b/>
          <w:sz w:val="20"/>
          <w:szCs w:val="20"/>
        </w:rPr>
      </w:pPr>
      <w:r w:rsidRPr="0069151E">
        <w:rPr>
          <w:rFonts w:ascii="Verdana" w:hAnsi="Verdana" w:cs="Verdana"/>
          <w:b/>
          <w:sz w:val="20"/>
          <w:szCs w:val="20"/>
        </w:rPr>
        <w:t>Management Employees of Bargaining Unit P3</w:t>
      </w:r>
    </w:p>
    <w:p w:rsidR="00D81501" w:rsidRDefault="00D81501" w:rsidP="00D8150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Agencies should also submit </w:t>
      </w:r>
      <w:hyperlink r:id="rId9" w:history="1">
        <w:r w:rsidRPr="009B4264">
          <w:rPr>
            <w:rStyle w:val="Hyperlink"/>
            <w:rFonts w:ascii="Verdana" w:hAnsi="Verdana" w:cs="Verdana"/>
            <w:sz w:val="20"/>
            <w:szCs w:val="20"/>
          </w:rPr>
          <w:t>e-PARs</w:t>
        </w:r>
      </w:hyperlink>
      <w:r>
        <w:rPr>
          <w:rFonts w:ascii="Verdana" w:hAnsi="Verdana" w:cs="Verdana"/>
          <w:sz w:val="20"/>
          <w:szCs w:val="20"/>
        </w:rPr>
        <w:t xml:space="preserve"> to the HR Service Center for payments to management employees in bargaining unit P3 who are eligible to receive a payment per EBR CN-07-240. The HR Service Center will hold all requests until advised by the OA, Bureau of Labor Relations that processing can occur.</w:t>
      </w:r>
    </w:p>
    <w:p w:rsidR="00B21961" w:rsidRDefault="00B21961" w:rsidP="00011191">
      <w:pPr>
        <w:rPr>
          <w:rFonts w:ascii="Verdana" w:hAnsi="Verdana" w:cs="Verdana"/>
          <w:b/>
          <w:sz w:val="20"/>
          <w:szCs w:val="20"/>
          <w:u w:val="single"/>
        </w:rPr>
      </w:pPr>
    </w:p>
    <w:p w:rsidR="00D64DC0" w:rsidRPr="004106F5" w:rsidRDefault="00D64DC0" w:rsidP="00011191">
      <w:pPr>
        <w:rPr>
          <w:rFonts w:ascii="Verdana" w:hAnsi="Verdana" w:cs="Verdana"/>
          <w:b/>
          <w:sz w:val="20"/>
          <w:szCs w:val="20"/>
          <w:u w:val="single"/>
        </w:rPr>
      </w:pPr>
    </w:p>
    <w:p w:rsidR="00AC277C" w:rsidRDefault="00B305A4" w:rsidP="00AC277C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lastRenderedPageBreak/>
        <w:t>Expiring CBA &amp; MOU</w:t>
      </w:r>
    </w:p>
    <w:p w:rsidR="00254018" w:rsidRDefault="00B124D8" w:rsidP="00AC277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Contracts for t</w:t>
      </w:r>
      <w:r w:rsidR="00254018">
        <w:rPr>
          <w:rFonts w:ascii="Verdana" w:hAnsi="Verdana" w:cs="Verdana"/>
          <w:sz w:val="20"/>
          <w:szCs w:val="20"/>
        </w:rPr>
        <w:t xml:space="preserve">he following </w:t>
      </w:r>
      <w:r w:rsidR="00A47DBF">
        <w:rPr>
          <w:rFonts w:ascii="Verdana" w:hAnsi="Verdana" w:cs="Verdana"/>
          <w:sz w:val="20"/>
          <w:szCs w:val="20"/>
        </w:rPr>
        <w:t>unions will</w:t>
      </w:r>
      <w:r>
        <w:rPr>
          <w:rFonts w:ascii="Verdana" w:hAnsi="Verdana" w:cs="Verdana"/>
          <w:sz w:val="20"/>
          <w:szCs w:val="20"/>
        </w:rPr>
        <w:t xml:space="preserve"> </w:t>
      </w:r>
      <w:r w:rsidR="00A47DBF">
        <w:rPr>
          <w:rFonts w:ascii="Verdana" w:hAnsi="Verdana" w:cs="Verdana"/>
          <w:sz w:val="20"/>
          <w:szCs w:val="20"/>
        </w:rPr>
        <w:t>expire on</w:t>
      </w:r>
      <w:r w:rsidR="009A1228">
        <w:rPr>
          <w:rFonts w:ascii="Verdana" w:hAnsi="Verdana" w:cs="Verdana"/>
          <w:sz w:val="20"/>
          <w:szCs w:val="20"/>
        </w:rPr>
        <w:t xml:space="preserve"> June 30, 2016</w:t>
      </w:r>
      <w:r w:rsidR="00254018">
        <w:rPr>
          <w:rFonts w:ascii="Verdana" w:hAnsi="Verdana" w:cs="Verdana"/>
          <w:sz w:val="20"/>
          <w:szCs w:val="20"/>
        </w:rPr>
        <w:t>:</w:t>
      </w:r>
    </w:p>
    <w:p w:rsidR="00F343AA" w:rsidRDefault="00F343AA" w:rsidP="00AC277C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5634"/>
      </w:tblGrid>
      <w:tr w:rsidR="00F343AA" w:rsidRPr="00AF1ECD" w:rsidTr="004F39F5">
        <w:trPr>
          <w:jc w:val="center"/>
        </w:trPr>
        <w:tc>
          <w:tcPr>
            <w:tcW w:w="3834" w:type="dxa"/>
            <w:shd w:val="clear" w:color="auto" w:fill="auto"/>
          </w:tcPr>
          <w:p w:rsidR="00F343AA" w:rsidRPr="007F3B12" w:rsidRDefault="00F343AA" w:rsidP="00AC277C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7F3B12">
              <w:rPr>
                <w:rFonts w:ascii="Verdana" w:hAnsi="Verdana" w:cs="Verdana"/>
                <w:b/>
                <w:sz w:val="20"/>
                <w:szCs w:val="20"/>
              </w:rPr>
              <w:t>Union</w:t>
            </w:r>
          </w:p>
        </w:tc>
        <w:tc>
          <w:tcPr>
            <w:tcW w:w="5634" w:type="dxa"/>
            <w:shd w:val="clear" w:color="auto" w:fill="auto"/>
          </w:tcPr>
          <w:p w:rsidR="00F343AA" w:rsidRPr="007F3B12" w:rsidRDefault="00A47DBF" w:rsidP="00A47DBF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7F3B12">
              <w:rPr>
                <w:rFonts w:ascii="Verdana" w:hAnsi="Verdana" w:cs="Verdana"/>
                <w:b/>
                <w:sz w:val="20"/>
                <w:szCs w:val="20"/>
              </w:rPr>
              <w:t>Bargaining</w:t>
            </w:r>
            <w:r w:rsidR="00F343AA" w:rsidRPr="007F3B12">
              <w:rPr>
                <w:rFonts w:ascii="Verdana" w:hAnsi="Verdana" w:cs="Verdana"/>
                <w:b/>
                <w:sz w:val="20"/>
                <w:szCs w:val="20"/>
              </w:rPr>
              <w:t xml:space="preserve"> Unit(s)</w:t>
            </w:r>
          </w:p>
        </w:tc>
      </w:tr>
      <w:tr w:rsidR="00F343AA" w:rsidRPr="00F33355" w:rsidTr="004F39F5">
        <w:trPr>
          <w:jc w:val="center"/>
        </w:trPr>
        <w:tc>
          <w:tcPr>
            <w:tcW w:w="38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AFSCME</w:t>
            </w:r>
            <w:r w:rsidR="004F39F5">
              <w:rPr>
                <w:rFonts w:ascii="Verdana" w:hAnsi="Verdana" w:cs="Verdana"/>
                <w:sz w:val="20"/>
                <w:szCs w:val="20"/>
              </w:rPr>
              <w:t xml:space="preserve"> (includes TCP Agreement)</w:t>
            </w:r>
          </w:p>
        </w:tc>
        <w:tc>
          <w:tcPr>
            <w:tcW w:w="56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A1, A4, A7, B1, B4, G1, G4, J1, N1, A2, B2, G2, G5, J2, N2, 61, 64, 65, W1, W2, W4, W5, W7, W8,</w:t>
            </w:r>
            <w:r w:rsidR="0068455A" w:rsidRPr="00F3335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F33355">
              <w:rPr>
                <w:rFonts w:ascii="Verdana" w:hAnsi="Verdana" w:cs="Verdana"/>
                <w:sz w:val="20"/>
                <w:szCs w:val="20"/>
              </w:rPr>
              <w:t>W9</w:t>
            </w:r>
          </w:p>
        </w:tc>
      </w:tr>
      <w:tr w:rsidR="00F343AA" w:rsidRPr="00F33355" w:rsidTr="004F39F5">
        <w:trPr>
          <w:jc w:val="center"/>
        </w:trPr>
        <w:tc>
          <w:tcPr>
            <w:tcW w:w="38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CIVEA</w:t>
            </w:r>
          </w:p>
        </w:tc>
        <w:tc>
          <w:tcPr>
            <w:tcW w:w="56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E4, E7</w:t>
            </w:r>
          </w:p>
        </w:tc>
      </w:tr>
      <w:tr w:rsidR="00F343AA" w:rsidRPr="00F33355" w:rsidTr="004F39F5">
        <w:trPr>
          <w:jc w:val="center"/>
        </w:trPr>
        <w:tc>
          <w:tcPr>
            <w:tcW w:w="38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PSEA</w:t>
            </w:r>
          </w:p>
        </w:tc>
        <w:tc>
          <w:tcPr>
            <w:tcW w:w="56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S4</w:t>
            </w:r>
          </w:p>
        </w:tc>
      </w:tr>
      <w:tr w:rsidR="00F343AA" w:rsidRPr="00F33355" w:rsidTr="004F39F5">
        <w:trPr>
          <w:jc w:val="center"/>
        </w:trPr>
        <w:tc>
          <w:tcPr>
            <w:tcW w:w="38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CBA</w:t>
            </w:r>
            <w:r w:rsidR="00BE6F3F" w:rsidRPr="00F33355">
              <w:rPr>
                <w:rFonts w:ascii="Verdana" w:hAnsi="Verdana" w:cs="Verdana"/>
                <w:sz w:val="20"/>
                <w:szCs w:val="20"/>
              </w:rPr>
              <w:t xml:space="preserve"> (PUC)</w:t>
            </w:r>
          </w:p>
        </w:tc>
        <w:tc>
          <w:tcPr>
            <w:tcW w:w="56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Z4</w:t>
            </w:r>
          </w:p>
        </w:tc>
      </w:tr>
      <w:tr w:rsidR="00F343AA" w:rsidRPr="00F33355" w:rsidTr="004F39F5">
        <w:trPr>
          <w:jc w:val="center"/>
        </w:trPr>
        <w:tc>
          <w:tcPr>
            <w:tcW w:w="38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FOSCEP</w:t>
            </w:r>
          </w:p>
        </w:tc>
        <w:tc>
          <w:tcPr>
            <w:tcW w:w="56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C4, C5</w:t>
            </w:r>
          </w:p>
        </w:tc>
      </w:tr>
      <w:tr w:rsidR="00F343AA" w:rsidRPr="00F33355" w:rsidTr="004F39F5">
        <w:trPr>
          <w:jc w:val="center"/>
        </w:trPr>
        <w:tc>
          <w:tcPr>
            <w:tcW w:w="38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ISSU</w:t>
            </w:r>
          </w:p>
        </w:tc>
        <w:tc>
          <w:tcPr>
            <w:tcW w:w="56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M2</w:t>
            </w:r>
          </w:p>
        </w:tc>
      </w:tr>
      <w:tr w:rsidR="00F343AA" w:rsidRPr="00F33355" w:rsidTr="004F39F5">
        <w:trPr>
          <w:jc w:val="center"/>
        </w:trPr>
        <w:tc>
          <w:tcPr>
            <w:tcW w:w="38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UFCW</w:t>
            </w:r>
          </w:p>
        </w:tc>
        <w:tc>
          <w:tcPr>
            <w:tcW w:w="56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M1, M7</w:t>
            </w:r>
          </w:p>
        </w:tc>
      </w:tr>
      <w:tr w:rsidR="00F343AA" w:rsidRPr="00F33355" w:rsidTr="004F39F5">
        <w:trPr>
          <w:jc w:val="center"/>
        </w:trPr>
        <w:tc>
          <w:tcPr>
            <w:tcW w:w="38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OPEIU</w:t>
            </w:r>
            <w:r w:rsidR="00AC6866" w:rsidRPr="00F33355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 w:rsidR="00BE6F3F" w:rsidRPr="00F33355">
              <w:rPr>
                <w:rFonts w:ascii="Verdana" w:hAnsi="Verdana" w:cs="Verdana"/>
                <w:sz w:val="20"/>
                <w:szCs w:val="20"/>
              </w:rPr>
              <w:t>Healthcare PA</w:t>
            </w:r>
          </w:p>
        </w:tc>
        <w:tc>
          <w:tcPr>
            <w:tcW w:w="56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P5</w:t>
            </w:r>
          </w:p>
        </w:tc>
      </w:tr>
      <w:tr w:rsidR="00F343AA" w:rsidRPr="00F33355" w:rsidTr="004F39F5">
        <w:trPr>
          <w:jc w:val="center"/>
        </w:trPr>
        <w:tc>
          <w:tcPr>
            <w:tcW w:w="38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SEIU</w:t>
            </w:r>
            <w:r w:rsidR="00AC6866" w:rsidRPr="00F33355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 w:rsidR="00BE6F3F" w:rsidRPr="00F33355">
              <w:rPr>
                <w:rFonts w:ascii="Verdana" w:hAnsi="Verdana" w:cs="Verdana"/>
                <w:sz w:val="20"/>
                <w:szCs w:val="20"/>
              </w:rPr>
              <w:t>Healthcare PA</w:t>
            </w:r>
          </w:p>
        </w:tc>
        <w:tc>
          <w:tcPr>
            <w:tcW w:w="56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P4</w:t>
            </w:r>
            <w:r w:rsidR="00BD7DDF" w:rsidRPr="00F33355">
              <w:rPr>
                <w:rFonts w:ascii="Verdana" w:hAnsi="Verdana" w:cs="Verdana"/>
                <w:sz w:val="20"/>
                <w:szCs w:val="20"/>
              </w:rPr>
              <w:t>, P7</w:t>
            </w:r>
          </w:p>
        </w:tc>
      </w:tr>
      <w:tr w:rsidR="00F343AA" w:rsidRPr="00F33355" w:rsidTr="004F39F5">
        <w:trPr>
          <w:jc w:val="center"/>
        </w:trPr>
        <w:tc>
          <w:tcPr>
            <w:tcW w:w="3834" w:type="dxa"/>
            <w:shd w:val="clear" w:color="auto" w:fill="auto"/>
          </w:tcPr>
          <w:p w:rsidR="00F343AA" w:rsidRPr="00F33355" w:rsidRDefault="00AC6866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 xml:space="preserve">SEIU – </w:t>
            </w:r>
            <w:r w:rsidR="00F343AA" w:rsidRPr="00F33355">
              <w:rPr>
                <w:rFonts w:ascii="Verdana" w:hAnsi="Verdana" w:cs="Verdana"/>
                <w:sz w:val="20"/>
                <w:szCs w:val="20"/>
              </w:rPr>
              <w:t>Local 668</w:t>
            </w:r>
          </w:p>
        </w:tc>
        <w:tc>
          <w:tcPr>
            <w:tcW w:w="56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F1, F4, F5</w:t>
            </w:r>
          </w:p>
        </w:tc>
      </w:tr>
      <w:tr w:rsidR="00F343AA" w:rsidRPr="00F33355" w:rsidTr="004F39F5">
        <w:trPr>
          <w:jc w:val="center"/>
        </w:trPr>
        <w:tc>
          <w:tcPr>
            <w:tcW w:w="3834" w:type="dxa"/>
            <w:shd w:val="clear" w:color="auto" w:fill="auto"/>
          </w:tcPr>
          <w:p w:rsidR="00F343AA" w:rsidRPr="00F33355" w:rsidRDefault="00AC6866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 xml:space="preserve">PSSU – </w:t>
            </w:r>
            <w:r w:rsidR="00F343AA" w:rsidRPr="00F33355">
              <w:rPr>
                <w:rFonts w:ascii="Verdana" w:hAnsi="Verdana" w:cs="Verdana"/>
                <w:sz w:val="20"/>
                <w:szCs w:val="20"/>
              </w:rPr>
              <w:t>Referees Unit</w:t>
            </w:r>
          </w:p>
        </w:tc>
        <w:tc>
          <w:tcPr>
            <w:tcW w:w="56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I5</w:t>
            </w:r>
          </w:p>
        </w:tc>
      </w:tr>
      <w:tr w:rsidR="00F343AA" w:rsidRPr="00F33355" w:rsidTr="004F39F5">
        <w:trPr>
          <w:jc w:val="center"/>
        </w:trPr>
        <w:tc>
          <w:tcPr>
            <w:tcW w:w="38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PLEA</w:t>
            </w:r>
          </w:p>
        </w:tc>
        <w:tc>
          <w:tcPr>
            <w:tcW w:w="56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K4</w:t>
            </w:r>
          </w:p>
        </w:tc>
      </w:tr>
      <w:tr w:rsidR="00F343AA" w:rsidRPr="00F33355" w:rsidTr="004F39F5">
        <w:trPr>
          <w:jc w:val="center"/>
        </w:trPr>
        <w:tc>
          <w:tcPr>
            <w:tcW w:w="38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ALES</w:t>
            </w:r>
          </w:p>
        </w:tc>
        <w:tc>
          <w:tcPr>
            <w:tcW w:w="5634" w:type="dxa"/>
            <w:shd w:val="clear" w:color="auto" w:fill="auto"/>
          </w:tcPr>
          <w:p w:rsidR="00F343AA" w:rsidRPr="00F33355" w:rsidRDefault="00F343A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K5</w:t>
            </w:r>
          </w:p>
        </w:tc>
      </w:tr>
      <w:tr w:rsidR="0068455A" w:rsidRPr="00F33355" w:rsidTr="004F39F5">
        <w:trPr>
          <w:jc w:val="center"/>
        </w:trPr>
        <w:tc>
          <w:tcPr>
            <w:tcW w:w="3834" w:type="dxa"/>
            <w:shd w:val="clear" w:color="auto" w:fill="auto"/>
          </w:tcPr>
          <w:p w:rsidR="0068455A" w:rsidRPr="00F33355" w:rsidRDefault="0068455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PDA</w:t>
            </w:r>
          </w:p>
        </w:tc>
        <w:tc>
          <w:tcPr>
            <w:tcW w:w="5634" w:type="dxa"/>
            <w:shd w:val="clear" w:color="auto" w:fill="auto"/>
          </w:tcPr>
          <w:p w:rsidR="0068455A" w:rsidRPr="00F33355" w:rsidRDefault="0068455A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T4, T5</w:t>
            </w:r>
          </w:p>
        </w:tc>
      </w:tr>
      <w:tr w:rsidR="0068455A" w:rsidRPr="00F33355" w:rsidTr="004F39F5">
        <w:trPr>
          <w:jc w:val="center"/>
        </w:trPr>
        <w:tc>
          <w:tcPr>
            <w:tcW w:w="3834" w:type="dxa"/>
            <w:shd w:val="clear" w:color="auto" w:fill="auto"/>
          </w:tcPr>
          <w:p w:rsidR="0068455A" w:rsidRPr="00F33355" w:rsidRDefault="00AC6866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/>
                <w:sz w:val="20"/>
                <w:szCs w:val="20"/>
              </w:rPr>
              <w:t>FOP – Conservation Police Officers Lodge 114, Fish and Boat Commission</w:t>
            </w:r>
          </w:p>
        </w:tc>
        <w:tc>
          <w:tcPr>
            <w:tcW w:w="5634" w:type="dxa"/>
            <w:shd w:val="clear" w:color="auto" w:fill="auto"/>
          </w:tcPr>
          <w:p w:rsidR="0068455A" w:rsidRPr="00F33355" w:rsidRDefault="00AC6866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K1</w:t>
            </w:r>
          </w:p>
        </w:tc>
      </w:tr>
      <w:tr w:rsidR="00AC6866" w:rsidRPr="00F33355" w:rsidTr="004F39F5">
        <w:trPr>
          <w:jc w:val="center"/>
        </w:trPr>
        <w:tc>
          <w:tcPr>
            <w:tcW w:w="3834" w:type="dxa"/>
            <w:shd w:val="clear" w:color="auto" w:fill="auto"/>
          </w:tcPr>
          <w:p w:rsidR="00AC6866" w:rsidRPr="00F33355" w:rsidRDefault="00AC6866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/>
                <w:sz w:val="20"/>
                <w:szCs w:val="20"/>
              </w:rPr>
              <w:t>FOP – Assistant Regional Supervisor Lodge 114, Fish and Boat Commission</w:t>
            </w:r>
          </w:p>
        </w:tc>
        <w:tc>
          <w:tcPr>
            <w:tcW w:w="5634" w:type="dxa"/>
            <w:shd w:val="clear" w:color="auto" w:fill="auto"/>
          </w:tcPr>
          <w:p w:rsidR="00AC6866" w:rsidRPr="00F33355" w:rsidRDefault="00AC6866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K2</w:t>
            </w:r>
          </w:p>
        </w:tc>
      </w:tr>
      <w:tr w:rsidR="00AC6866" w:rsidTr="004F39F5">
        <w:trPr>
          <w:jc w:val="center"/>
        </w:trPr>
        <w:tc>
          <w:tcPr>
            <w:tcW w:w="3834" w:type="dxa"/>
            <w:shd w:val="clear" w:color="auto" w:fill="auto"/>
          </w:tcPr>
          <w:p w:rsidR="00AC6866" w:rsidRPr="00F33355" w:rsidRDefault="00F33355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FOP – Conservation Police Officers Lodge 114, Game Commission Act 111 Unit</w:t>
            </w:r>
          </w:p>
        </w:tc>
        <w:tc>
          <w:tcPr>
            <w:tcW w:w="5634" w:type="dxa"/>
            <w:shd w:val="clear" w:color="auto" w:fill="auto"/>
          </w:tcPr>
          <w:p w:rsidR="00AC6866" w:rsidRPr="00F33355" w:rsidRDefault="00F33355" w:rsidP="00AC277C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K8</w:t>
            </w:r>
          </w:p>
        </w:tc>
      </w:tr>
    </w:tbl>
    <w:p w:rsidR="004F39F5" w:rsidRDefault="004F39F5" w:rsidP="00670F3C">
      <w:pPr>
        <w:rPr>
          <w:rFonts w:ascii="Verdana" w:hAnsi="Verdana" w:cs="Verdana"/>
          <w:b/>
          <w:sz w:val="20"/>
          <w:szCs w:val="20"/>
          <w:u w:val="single"/>
        </w:rPr>
      </w:pPr>
    </w:p>
    <w:p w:rsidR="00670F3C" w:rsidRDefault="00670F3C" w:rsidP="00670F3C">
      <w:pPr>
        <w:rPr>
          <w:rFonts w:ascii="Verdana" w:hAnsi="Verdana" w:cs="Verdana"/>
          <w:b/>
          <w:sz w:val="20"/>
          <w:szCs w:val="20"/>
          <w:u w:val="single"/>
        </w:rPr>
      </w:pPr>
      <w:r w:rsidRPr="001A3CC7">
        <w:rPr>
          <w:rFonts w:ascii="Verdana" w:hAnsi="Verdana" w:cs="Verdana"/>
          <w:b/>
          <w:sz w:val="20"/>
          <w:szCs w:val="20"/>
          <w:u w:val="single"/>
        </w:rPr>
        <w:t>System Non-Availability</w:t>
      </w:r>
    </w:p>
    <w:p w:rsidR="00412A8D" w:rsidRPr="00FF06E6" w:rsidRDefault="00412A8D" w:rsidP="00670F3C">
      <w:pPr>
        <w:rPr>
          <w:rFonts w:ascii="Verdana" w:hAnsi="Verdana" w:cs="Verdana"/>
          <w:sz w:val="20"/>
          <w:szCs w:val="20"/>
        </w:rPr>
      </w:pPr>
    </w:p>
    <w:p w:rsidR="00011191" w:rsidRDefault="00655F00" w:rsidP="00E56507">
      <w:p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July 1</w:t>
      </w:r>
      <w:r w:rsidR="00A22030" w:rsidRPr="00A22030">
        <w:rPr>
          <w:rFonts w:ascii="Verdana" w:hAnsi="Verdana" w:cs="Verdana"/>
          <w:sz w:val="20"/>
          <w:szCs w:val="20"/>
          <w:u w:val="single"/>
        </w:rPr>
        <w:t xml:space="preserve"> to July </w:t>
      </w:r>
      <w:r>
        <w:rPr>
          <w:rFonts w:ascii="Verdana" w:hAnsi="Verdana" w:cs="Verdana"/>
          <w:sz w:val="20"/>
          <w:szCs w:val="20"/>
          <w:u w:val="single"/>
        </w:rPr>
        <w:t>3</w:t>
      </w:r>
      <w:r w:rsidR="00A22030" w:rsidRPr="00A22030">
        <w:rPr>
          <w:rFonts w:ascii="Verdana" w:hAnsi="Verdana" w:cs="Verdana"/>
          <w:sz w:val="20"/>
          <w:szCs w:val="20"/>
          <w:u w:val="single"/>
        </w:rPr>
        <w:t>: Non-availability window</w:t>
      </w:r>
    </w:p>
    <w:p w:rsidR="00A22030" w:rsidRPr="00FF06E6" w:rsidRDefault="00655F00" w:rsidP="00A22030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>Non-available time: Friday, July 1</w:t>
      </w:r>
      <w:r w:rsidR="00A22030">
        <w:rPr>
          <w:rFonts w:ascii="Verdana" w:hAnsi="Verdana" w:cs="Verdana"/>
          <w:sz w:val="20"/>
          <w:szCs w:val="20"/>
        </w:rPr>
        <w:t xml:space="preserve"> at 5:00</w:t>
      </w:r>
      <w:r w:rsidR="00385684">
        <w:rPr>
          <w:rFonts w:ascii="Verdana" w:hAnsi="Verdana" w:cs="Verdana"/>
          <w:sz w:val="20"/>
          <w:szCs w:val="20"/>
        </w:rPr>
        <w:t xml:space="preserve"> p.m.</w:t>
      </w:r>
      <w:r>
        <w:rPr>
          <w:rFonts w:ascii="Verdana" w:hAnsi="Verdana" w:cs="Verdana"/>
          <w:sz w:val="20"/>
          <w:szCs w:val="20"/>
        </w:rPr>
        <w:t xml:space="preserve"> to Sunday, July 3 at 12</w:t>
      </w:r>
      <w:r w:rsidR="00A22030">
        <w:rPr>
          <w:rFonts w:ascii="Verdana" w:hAnsi="Verdana" w:cs="Verdana"/>
          <w:sz w:val="20"/>
          <w:szCs w:val="20"/>
        </w:rPr>
        <w:t>:00</w:t>
      </w:r>
      <w:r>
        <w:rPr>
          <w:rFonts w:ascii="Verdana" w:hAnsi="Verdana" w:cs="Verdana"/>
          <w:sz w:val="20"/>
          <w:szCs w:val="20"/>
        </w:rPr>
        <w:t xml:space="preserve"> p</w:t>
      </w:r>
      <w:r w:rsidR="00385684">
        <w:rPr>
          <w:rFonts w:ascii="Verdana" w:hAnsi="Verdana" w:cs="Verdana"/>
          <w:sz w:val="20"/>
          <w:szCs w:val="20"/>
        </w:rPr>
        <w:t>.m.</w:t>
      </w:r>
    </w:p>
    <w:p w:rsidR="00FF06E6" w:rsidRPr="00FF06E6" w:rsidRDefault="00FF06E6" w:rsidP="00A22030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>Reason: FYE SAP System Blackout</w:t>
      </w:r>
    </w:p>
    <w:p w:rsidR="00FF06E6" w:rsidRPr="00BD7DDF" w:rsidRDefault="00FF06E6" w:rsidP="00A22030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>Systems: All SAP Systems including ESS</w:t>
      </w:r>
    </w:p>
    <w:p w:rsidR="00BD7DDF" w:rsidRPr="00501AEF" w:rsidRDefault="00BD7DDF" w:rsidP="00A22030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>Time Link systems will be availa</w:t>
      </w:r>
      <w:r w:rsidR="00D10082">
        <w:rPr>
          <w:rFonts w:ascii="Verdana" w:hAnsi="Verdana" w:cs="Verdana"/>
          <w:sz w:val="20"/>
          <w:szCs w:val="20"/>
        </w:rPr>
        <w:t xml:space="preserve">ble during the non-availability </w:t>
      </w:r>
      <w:r>
        <w:rPr>
          <w:rFonts w:ascii="Verdana" w:hAnsi="Verdana" w:cs="Verdana"/>
          <w:sz w:val="20"/>
          <w:szCs w:val="20"/>
        </w:rPr>
        <w:t>window</w:t>
      </w:r>
    </w:p>
    <w:p w:rsidR="00501AEF" w:rsidRDefault="00501AEF" w:rsidP="00501AEF">
      <w:pPr>
        <w:rPr>
          <w:rFonts w:ascii="Verdana" w:hAnsi="Verdana" w:cs="Verdana"/>
          <w:sz w:val="20"/>
          <w:szCs w:val="20"/>
          <w:u w:val="single"/>
        </w:rPr>
      </w:pPr>
    </w:p>
    <w:p w:rsidR="000E7C32" w:rsidRPr="000E7C32" w:rsidRDefault="00B124D8" w:rsidP="00501AE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Due to the fiscal year end blackout </w:t>
      </w:r>
      <w:r w:rsidR="00AF321C">
        <w:rPr>
          <w:rFonts w:ascii="Verdana" w:hAnsi="Verdana" w:cs="Verdana"/>
          <w:sz w:val="20"/>
          <w:szCs w:val="20"/>
        </w:rPr>
        <w:t>periods</w:t>
      </w:r>
      <w:r>
        <w:rPr>
          <w:rFonts w:ascii="Verdana" w:hAnsi="Verdana" w:cs="Verdana"/>
          <w:sz w:val="20"/>
          <w:szCs w:val="20"/>
        </w:rPr>
        <w:t>, a</w:t>
      </w:r>
      <w:r w:rsidR="000E7C32">
        <w:rPr>
          <w:rFonts w:ascii="Verdana" w:hAnsi="Verdana" w:cs="Verdana"/>
          <w:sz w:val="20"/>
          <w:szCs w:val="20"/>
        </w:rPr>
        <w:t>gencies serv</w:t>
      </w:r>
      <w:r w:rsidR="00D81501">
        <w:rPr>
          <w:rFonts w:ascii="Verdana" w:hAnsi="Verdana" w:cs="Verdana"/>
          <w:sz w:val="20"/>
          <w:szCs w:val="20"/>
        </w:rPr>
        <w:t>ed</w:t>
      </w:r>
      <w:r w:rsidR="000E7C32">
        <w:rPr>
          <w:rFonts w:ascii="Verdana" w:hAnsi="Verdana" w:cs="Verdana"/>
          <w:sz w:val="20"/>
          <w:szCs w:val="20"/>
        </w:rPr>
        <w:t xml:space="preserve"> by the HR Service Center should submit </w:t>
      </w:r>
      <w:r w:rsidR="00D10082">
        <w:rPr>
          <w:rFonts w:ascii="Verdana" w:hAnsi="Verdana" w:cs="Verdana"/>
          <w:sz w:val="20"/>
          <w:szCs w:val="20"/>
        </w:rPr>
        <w:t xml:space="preserve">any </w:t>
      </w:r>
      <w:r w:rsidR="000E7C32">
        <w:rPr>
          <w:rFonts w:ascii="Verdana" w:hAnsi="Verdana" w:cs="Verdana"/>
          <w:sz w:val="20"/>
          <w:szCs w:val="20"/>
        </w:rPr>
        <w:t>transactions</w:t>
      </w:r>
      <w:r w:rsidR="002F4CDB">
        <w:rPr>
          <w:rFonts w:ascii="Verdana" w:hAnsi="Verdana" w:cs="Verdana"/>
          <w:sz w:val="20"/>
          <w:szCs w:val="20"/>
        </w:rPr>
        <w:t xml:space="preserve"> with an effective date of 07/05/2016</w:t>
      </w:r>
      <w:r w:rsidR="000E7C32">
        <w:rPr>
          <w:rFonts w:ascii="Verdana" w:hAnsi="Verdana" w:cs="Verdana"/>
          <w:sz w:val="20"/>
          <w:szCs w:val="20"/>
        </w:rPr>
        <w:t xml:space="preserve"> </w:t>
      </w:r>
      <w:r w:rsidR="00AF321C">
        <w:rPr>
          <w:rFonts w:ascii="Verdana" w:hAnsi="Verdana" w:cs="Verdana"/>
          <w:sz w:val="20"/>
          <w:szCs w:val="20"/>
        </w:rPr>
        <w:t xml:space="preserve">or prior </w:t>
      </w:r>
      <w:r w:rsidR="000E7C32">
        <w:rPr>
          <w:rFonts w:ascii="Verdana" w:hAnsi="Verdana" w:cs="Verdana"/>
          <w:sz w:val="20"/>
          <w:szCs w:val="20"/>
        </w:rPr>
        <w:t xml:space="preserve">no later than 12:00 Noon on </w:t>
      </w:r>
      <w:r w:rsidR="00A91432">
        <w:rPr>
          <w:rFonts w:ascii="Verdana" w:hAnsi="Verdana" w:cs="Verdana"/>
          <w:sz w:val="20"/>
          <w:szCs w:val="20"/>
        </w:rPr>
        <w:t>Wednesday, June 29, 2016</w:t>
      </w:r>
      <w:r>
        <w:rPr>
          <w:rFonts w:ascii="Verdana" w:hAnsi="Verdana" w:cs="Verdana"/>
          <w:sz w:val="20"/>
          <w:szCs w:val="20"/>
        </w:rPr>
        <w:t>, to ensure timely processing</w:t>
      </w:r>
      <w:r w:rsidR="000E7C32">
        <w:rPr>
          <w:rFonts w:ascii="Verdana" w:hAnsi="Verdana" w:cs="Verdana"/>
          <w:sz w:val="20"/>
          <w:szCs w:val="20"/>
        </w:rPr>
        <w:t>. This will help to avoid delays in Onboarding for newly hired employees</w:t>
      </w:r>
      <w:r>
        <w:rPr>
          <w:rFonts w:ascii="Verdana" w:hAnsi="Verdana" w:cs="Verdana"/>
          <w:sz w:val="20"/>
          <w:szCs w:val="20"/>
        </w:rPr>
        <w:t xml:space="preserve"> and access of security permissions for employees transferring between agencies</w:t>
      </w:r>
      <w:r w:rsidR="000E7C32">
        <w:rPr>
          <w:rFonts w:ascii="Verdana" w:hAnsi="Verdana" w:cs="Verdana"/>
          <w:sz w:val="20"/>
          <w:szCs w:val="20"/>
        </w:rPr>
        <w:t>.</w:t>
      </w:r>
    </w:p>
    <w:p w:rsidR="000E7C32" w:rsidRDefault="000E7C32" w:rsidP="00501AEF">
      <w:pPr>
        <w:rPr>
          <w:rFonts w:ascii="Verdana" w:hAnsi="Verdana" w:cs="Verdana"/>
          <w:sz w:val="20"/>
          <w:szCs w:val="20"/>
          <w:u w:val="single"/>
        </w:rPr>
      </w:pPr>
    </w:p>
    <w:p w:rsidR="00501AEF" w:rsidRPr="00501AEF" w:rsidRDefault="00501AEF" w:rsidP="00501AE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Agencies not s</w:t>
      </w:r>
      <w:r w:rsidR="00A37D31">
        <w:rPr>
          <w:rFonts w:ascii="Verdana" w:hAnsi="Verdana" w:cs="Verdana"/>
          <w:sz w:val="20"/>
          <w:szCs w:val="20"/>
        </w:rPr>
        <w:t xml:space="preserve">erved </w:t>
      </w:r>
      <w:r>
        <w:rPr>
          <w:rFonts w:ascii="Verdana" w:hAnsi="Verdana" w:cs="Verdana"/>
          <w:sz w:val="20"/>
          <w:szCs w:val="20"/>
        </w:rPr>
        <w:t>by the HR Service Center must suspend transaction processing as of 5:00</w:t>
      </w:r>
      <w:r w:rsidR="00385684">
        <w:rPr>
          <w:rFonts w:ascii="Verdana" w:hAnsi="Verdana" w:cs="Verdana"/>
          <w:sz w:val="20"/>
          <w:szCs w:val="20"/>
        </w:rPr>
        <w:t xml:space="preserve"> p.m.</w:t>
      </w:r>
      <w:r>
        <w:rPr>
          <w:rFonts w:ascii="Verdana" w:hAnsi="Verdana" w:cs="Verdana"/>
          <w:sz w:val="20"/>
          <w:szCs w:val="20"/>
        </w:rPr>
        <w:t xml:space="preserve"> on </w:t>
      </w:r>
      <w:r w:rsidR="002F4CDB">
        <w:rPr>
          <w:rFonts w:ascii="Verdana" w:hAnsi="Verdana" w:cs="Verdana"/>
          <w:sz w:val="20"/>
          <w:szCs w:val="20"/>
        </w:rPr>
        <w:t>Friday, July 1, 2016</w:t>
      </w:r>
      <w:r>
        <w:rPr>
          <w:rFonts w:ascii="Verdana" w:hAnsi="Verdana" w:cs="Verdana"/>
          <w:sz w:val="20"/>
          <w:szCs w:val="20"/>
        </w:rPr>
        <w:t xml:space="preserve">. Transaction processing can resume as normal on </w:t>
      </w:r>
      <w:r w:rsidR="002F4CDB">
        <w:rPr>
          <w:rFonts w:ascii="Verdana" w:hAnsi="Verdana" w:cs="Verdana"/>
          <w:sz w:val="20"/>
          <w:szCs w:val="20"/>
        </w:rPr>
        <w:t>Tuesday, July 5, 2016</w:t>
      </w:r>
      <w:r>
        <w:rPr>
          <w:rFonts w:ascii="Verdana" w:hAnsi="Verdana" w:cs="Verdana"/>
          <w:sz w:val="20"/>
          <w:szCs w:val="20"/>
        </w:rPr>
        <w:t>.</w:t>
      </w:r>
    </w:p>
    <w:p w:rsidR="00011191" w:rsidRDefault="00011191" w:rsidP="00E56507">
      <w:pPr>
        <w:rPr>
          <w:rFonts w:ascii="Verdana" w:hAnsi="Verdana" w:cs="Verdana"/>
          <w:sz w:val="20"/>
          <w:szCs w:val="20"/>
        </w:rPr>
      </w:pPr>
    </w:p>
    <w:p w:rsidR="008D1060" w:rsidRPr="001A3CC7" w:rsidRDefault="008D1060" w:rsidP="00E56507">
      <w:pPr>
        <w:rPr>
          <w:rFonts w:ascii="Verdana" w:hAnsi="Verdana" w:cs="Verdana"/>
          <w:sz w:val="20"/>
          <w:szCs w:val="20"/>
        </w:rPr>
      </w:pPr>
    </w:p>
    <w:p w:rsidR="00377242" w:rsidRPr="001A3CC7" w:rsidRDefault="00377242" w:rsidP="009C625C">
      <w:pPr>
        <w:rPr>
          <w:rFonts w:ascii="Verdana" w:hAnsi="Verdana" w:cs="Verdana"/>
          <w:sz w:val="20"/>
          <w:szCs w:val="20"/>
        </w:rPr>
      </w:pPr>
      <w:r w:rsidRPr="001A3CC7">
        <w:rPr>
          <w:rFonts w:ascii="Verdana" w:hAnsi="Verdana" w:cs="Verdana"/>
          <w:b/>
          <w:sz w:val="20"/>
          <w:szCs w:val="20"/>
        </w:rPr>
        <w:lastRenderedPageBreak/>
        <w:t>Questions?</w:t>
      </w:r>
      <w:r w:rsidRPr="001A3CC7">
        <w:rPr>
          <w:rFonts w:ascii="Verdana" w:hAnsi="Verdana" w:cs="Verdana"/>
          <w:sz w:val="20"/>
          <w:szCs w:val="20"/>
        </w:rPr>
        <w:t xml:space="preserve"> </w:t>
      </w:r>
      <w:r w:rsidRPr="001A3CC7">
        <w:rPr>
          <w:rFonts w:ascii="Verdana" w:hAnsi="Verdana" w:cs="Verdana"/>
          <w:sz w:val="20"/>
          <w:szCs w:val="20"/>
        </w:rPr>
        <w:br/>
        <w:t>If you have any questions regarding</w:t>
      </w:r>
      <w:r w:rsidR="001D118A">
        <w:rPr>
          <w:rFonts w:ascii="Verdana" w:hAnsi="Verdana" w:cs="Verdana"/>
          <w:sz w:val="20"/>
          <w:szCs w:val="20"/>
        </w:rPr>
        <w:t xml:space="preserve"> the</w:t>
      </w:r>
      <w:r w:rsidRPr="001A3CC7">
        <w:rPr>
          <w:rFonts w:ascii="Verdana" w:hAnsi="Verdana" w:cs="Verdana"/>
          <w:sz w:val="20"/>
          <w:szCs w:val="20"/>
        </w:rPr>
        <w:t xml:space="preserve"> </w:t>
      </w:r>
      <w:r w:rsidR="004B6DC1">
        <w:rPr>
          <w:rFonts w:ascii="Verdana" w:hAnsi="Verdana" w:cs="Verdana"/>
          <w:sz w:val="20"/>
          <w:szCs w:val="20"/>
        </w:rPr>
        <w:t>July</w:t>
      </w:r>
      <w:r w:rsidR="00427F70">
        <w:rPr>
          <w:rFonts w:ascii="Verdana" w:hAnsi="Verdana" w:cs="Verdana"/>
          <w:sz w:val="20"/>
          <w:szCs w:val="20"/>
        </w:rPr>
        <w:t xml:space="preserve"> 2016</w:t>
      </w:r>
      <w:r w:rsidR="00903CAC" w:rsidRPr="001A3CC7">
        <w:rPr>
          <w:rFonts w:ascii="Verdana" w:hAnsi="Verdana" w:cs="Verdana"/>
          <w:sz w:val="20"/>
          <w:szCs w:val="20"/>
        </w:rPr>
        <w:t xml:space="preserve"> Mass Compensation Processing</w:t>
      </w:r>
      <w:r w:rsidRPr="001A3CC7">
        <w:rPr>
          <w:rFonts w:ascii="Verdana" w:hAnsi="Verdana" w:cs="Verdana"/>
          <w:sz w:val="20"/>
          <w:szCs w:val="20"/>
        </w:rPr>
        <w:t xml:space="preserve">, please submit an </w:t>
      </w:r>
      <w:hyperlink r:id="rId10" w:history="1">
        <w:r w:rsidR="009561C3" w:rsidRPr="001A3CC7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1A3CC7">
        <w:rPr>
          <w:rFonts w:ascii="Verdana" w:hAnsi="Verdana" w:cs="Verdana"/>
          <w:sz w:val="20"/>
          <w:szCs w:val="20"/>
        </w:rPr>
        <w:t xml:space="preserve"> in the </w:t>
      </w:r>
      <w:r w:rsidR="00175C94" w:rsidRPr="001A3CC7">
        <w:rPr>
          <w:rFonts w:ascii="Verdana" w:hAnsi="Verdana" w:cs="Verdana"/>
          <w:sz w:val="20"/>
          <w:szCs w:val="20"/>
        </w:rPr>
        <w:t>personnel administration</w:t>
      </w:r>
      <w:r w:rsidRPr="001A3CC7">
        <w:rPr>
          <w:rFonts w:ascii="Verdana" w:hAnsi="Verdana" w:cs="Verdana"/>
          <w:sz w:val="20"/>
          <w:szCs w:val="20"/>
        </w:rPr>
        <w:t xml:space="preserve"> category.</w:t>
      </w:r>
      <w:r w:rsidR="00685856" w:rsidRPr="001A3CC7">
        <w:rPr>
          <w:rFonts w:ascii="Verdana" w:hAnsi="Verdana" w:cs="Verdana"/>
          <w:sz w:val="20"/>
          <w:szCs w:val="20"/>
        </w:rPr>
        <w:t xml:space="preserve"> </w:t>
      </w:r>
      <w:r w:rsidRPr="001A3CC7">
        <w:rPr>
          <w:rFonts w:ascii="Verdana" w:hAnsi="Verdana" w:cs="Verdana"/>
          <w:sz w:val="20"/>
          <w:szCs w:val="20"/>
        </w:rPr>
        <w:t xml:space="preserve"> </w:t>
      </w:r>
      <w:r w:rsidR="00685856" w:rsidRPr="001A3CC7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 w:rsidRPr="001A3CC7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1A3CC7">
        <w:rPr>
          <w:rFonts w:ascii="Verdana" w:hAnsi="Verdana" w:cs="Verdana"/>
          <w:sz w:val="20"/>
          <w:szCs w:val="20"/>
        </w:rPr>
        <w:t>Di</w:t>
      </w:r>
      <w:r w:rsidR="00175C94" w:rsidRPr="001A3CC7">
        <w:rPr>
          <w:rFonts w:ascii="Verdana" w:hAnsi="Verdana" w:cs="Verdana"/>
          <w:sz w:val="20"/>
          <w:szCs w:val="20"/>
        </w:rPr>
        <w:t>vision at 877.242.6007</w:t>
      </w:r>
      <w:r w:rsidR="00685856" w:rsidRPr="001A3CC7">
        <w:rPr>
          <w:rFonts w:ascii="Verdana" w:hAnsi="Verdana" w:cs="Verdana"/>
          <w:sz w:val="20"/>
          <w:szCs w:val="20"/>
        </w:rPr>
        <w:t xml:space="preserve">. </w:t>
      </w:r>
    </w:p>
    <w:sectPr w:rsidR="00377242" w:rsidRPr="001A3CC7" w:rsidSect="00377242">
      <w:headerReference w:type="default" r:id="rId11"/>
      <w:footerReference w:type="even" r:id="rId12"/>
      <w:footerReference w:type="defaul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28" w:rsidRDefault="004E1D28">
      <w:r>
        <w:separator/>
      </w:r>
    </w:p>
  </w:endnote>
  <w:endnote w:type="continuationSeparator" w:id="0">
    <w:p w:rsidR="004E1D28" w:rsidRDefault="004E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BB31BF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28" w:rsidRDefault="004E1D28">
      <w:r>
        <w:separator/>
      </w:r>
    </w:p>
  </w:footnote>
  <w:footnote w:type="continuationSeparator" w:id="0">
    <w:p w:rsidR="004E1D28" w:rsidRDefault="004E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C903F3" w:rsidRPr="009C625C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Personnel Administration Alert</w:t>
    </w:r>
    <w:r w:rsidRPr="009C625C">
      <w:rPr>
        <w:rFonts w:ascii="Verdana" w:hAnsi="Verdana" w:cs="Arial"/>
        <w:b/>
        <w:bCs/>
        <w:sz w:val="28"/>
        <w:szCs w:val="28"/>
      </w:rPr>
      <w:tab/>
      <w:t>201</w:t>
    </w:r>
    <w:r w:rsidR="00805C40">
      <w:rPr>
        <w:rFonts w:ascii="Verdana" w:hAnsi="Verdana" w:cs="Arial"/>
        <w:b/>
        <w:bCs/>
        <w:sz w:val="28"/>
        <w:szCs w:val="28"/>
      </w:rPr>
      <w:t>6-05</w:t>
    </w:r>
    <w:r w:rsidR="001E74DE">
      <w:rPr>
        <w:rFonts w:ascii="Verdana" w:hAnsi="Verdana" w:cs="Arial"/>
        <w:b/>
        <w:bCs/>
        <w:sz w:val="28"/>
        <w:szCs w:val="28"/>
      </w:rPr>
      <w:t xml:space="preserve"> Revised</w:t>
    </w:r>
  </w:p>
  <w:p w:rsidR="00C903F3" w:rsidRPr="00B00AE6" w:rsidRDefault="0043503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Revised </w:t>
    </w:r>
    <w:r w:rsidR="00805C40">
      <w:rPr>
        <w:rFonts w:ascii="Verdana" w:hAnsi="Verdana" w:cs="Arial"/>
        <w:sz w:val="20"/>
        <w:szCs w:val="20"/>
      </w:rPr>
      <w:t>06</w:t>
    </w:r>
    <w:r w:rsidR="0085708D">
      <w:rPr>
        <w:rFonts w:ascii="Verdana" w:hAnsi="Verdana" w:cs="Arial"/>
        <w:sz w:val="20"/>
        <w:szCs w:val="20"/>
      </w:rPr>
      <w:t>.</w:t>
    </w:r>
    <w:r w:rsidR="00805C40">
      <w:rPr>
        <w:rFonts w:ascii="Verdana" w:hAnsi="Verdana" w:cs="Arial"/>
        <w:sz w:val="20"/>
        <w:szCs w:val="20"/>
      </w:rPr>
      <w:t>2</w:t>
    </w:r>
    <w:r>
      <w:rPr>
        <w:rFonts w:ascii="Verdana" w:hAnsi="Verdana" w:cs="Arial"/>
        <w:sz w:val="20"/>
        <w:szCs w:val="20"/>
      </w:rPr>
      <w:t>8</w:t>
    </w:r>
    <w:r w:rsidR="005E2198">
      <w:rPr>
        <w:rFonts w:ascii="Verdana" w:hAnsi="Verdana" w:cs="Arial"/>
        <w:sz w:val="20"/>
        <w:szCs w:val="20"/>
      </w:rPr>
      <w:t>.2016</w:t>
    </w:r>
  </w:p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ED255E"/>
    <w:multiLevelType w:val="hybridMultilevel"/>
    <w:tmpl w:val="775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3C6D08"/>
    <w:multiLevelType w:val="hybridMultilevel"/>
    <w:tmpl w:val="1BE0D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3885FFA"/>
    <w:multiLevelType w:val="hybridMultilevel"/>
    <w:tmpl w:val="7808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6A0F87"/>
    <w:multiLevelType w:val="hybridMultilevel"/>
    <w:tmpl w:val="9428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2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5A4D10A4"/>
    <w:multiLevelType w:val="hybridMultilevel"/>
    <w:tmpl w:val="3BFC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32"/>
  </w:num>
  <w:num w:numId="5">
    <w:abstractNumId w:val="34"/>
  </w:num>
  <w:num w:numId="6">
    <w:abstractNumId w:val="30"/>
  </w:num>
  <w:num w:numId="7">
    <w:abstractNumId w:val="15"/>
  </w:num>
  <w:num w:numId="8">
    <w:abstractNumId w:val="33"/>
  </w:num>
  <w:num w:numId="9">
    <w:abstractNumId w:val="7"/>
  </w:num>
  <w:num w:numId="10">
    <w:abstractNumId w:val="24"/>
  </w:num>
  <w:num w:numId="11">
    <w:abstractNumId w:val="14"/>
  </w:num>
  <w:num w:numId="12">
    <w:abstractNumId w:val="3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7"/>
  </w:num>
  <w:num w:numId="19">
    <w:abstractNumId w:val="37"/>
  </w:num>
  <w:num w:numId="20">
    <w:abstractNumId w:val="1"/>
  </w:num>
  <w:num w:numId="21">
    <w:abstractNumId w:val="4"/>
  </w:num>
  <w:num w:numId="22">
    <w:abstractNumId w:val="22"/>
  </w:num>
  <w:num w:numId="23">
    <w:abstractNumId w:val="28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9"/>
  </w:num>
  <w:num w:numId="27">
    <w:abstractNumId w:val="18"/>
  </w:num>
  <w:num w:numId="28">
    <w:abstractNumId w:val="12"/>
  </w:num>
  <w:num w:numId="29">
    <w:abstractNumId w:val="21"/>
  </w:num>
  <w:num w:numId="30">
    <w:abstractNumId w:val="26"/>
  </w:num>
  <w:num w:numId="31">
    <w:abstractNumId w:val="35"/>
  </w:num>
  <w:num w:numId="32">
    <w:abstractNumId w:val="5"/>
  </w:num>
  <w:num w:numId="33">
    <w:abstractNumId w:val="19"/>
  </w:num>
  <w:num w:numId="34">
    <w:abstractNumId w:val="20"/>
  </w:num>
  <w:num w:numId="35">
    <w:abstractNumId w:val="31"/>
  </w:num>
  <w:num w:numId="36">
    <w:abstractNumId w:val="11"/>
  </w:num>
  <w:num w:numId="37">
    <w:abstractNumId w:val="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0F"/>
    <w:rsid w:val="0000349F"/>
    <w:rsid w:val="000047C1"/>
    <w:rsid w:val="00010771"/>
    <w:rsid w:val="00011191"/>
    <w:rsid w:val="000128F7"/>
    <w:rsid w:val="00013B7C"/>
    <w:rsid w:val="00014C0D"/>
    <w:rsid w:val="00015F8F"/>
    <w:rsid w:val="00016FDC"/>
    <w:rsid w:val="000220F1"/>
    <w:rsid w:val="00036ED9"/>
    <w:rsid w:val="00037690"/>
    <w:rsid w:val="00041A44"/>
    <w:rsid w:val="00052302"/>
    <w:rsid w:val="000546A7"/>
    <w:rsid w:val="00064B0E"/>
    <w:rsid w:val="000677CE"/>
    <w:rsid w:val="00083E21"/>
    <w:rsid w:val="00092E94"/>
    <w:rsid w:val="000973C3"/>
    <w:rsid w:val="000A0B0D"/>
    <w:rsid w:val="000B0165"/>
    <w:rsid w:val="000B532F"/>
    <w:rsid w:val="000D1069"/>
    <w:rsid w:val="000D78CE"/>
    <w:rsid w:val="000E4D76"/>
    <w:rsid w:val="000E559E"/>
    <w:rsid w:val="000E6771"/>
    <w:rsid w:val="000E7C32"/>
    <w:rsid w:val="000F1713"/>
    <w:rsid w:val="000F4477"/>
    <w:rsid w:val="000F73DB"/>
    <w:rsid w:val="00106466"/>
    <w:rsid w:val="001100AB"/>
    <w:rsid w:val="0011336B"/>
    <w:rsid w:val="00121933"/>
    <w:rsid w:val="00123562"/>
    <w:rsid w:val="00124D9C"/>
    <w:rsid w:val="00130422"/>
    <w:rsid w:val="0013220F"/>
    <w:rsid w:val="00135131"/>
    <w:rsid w:val="00142029"/>
    <w:rsid w:val="001442AC"/>
    <w:rsid w:val="001577EF"/>
    <w:rsid w:val="00163F86"/>
    <w:rsid w:val="00171924"/>
    <w:rsid w:val="00173A66"/>
    <w:rsid w:val="00175C94"/>
    <w:rsid w:val="00183489"/>
    <w:rsid w:val="0019400E"/>
    <w:rsid w:val="00194B6C"/>
    <w:rsid w:val="001A0C6B"/>
    <w:rsid w:val="001A3CC7"/>
    <w:rsid w:val="001A5F3C"/>
    <w:rsid w:val="001A744A"/>
    <w:rsid w:val="001B23A2"/>
    <w:rsid w:val="001B3B1F"/>
    <w:rsid w:val="001B6DA5"/>
    <w:rsid w:val="001D118A"/>
    <w:rsid w:val="001D27AD"/>
    <w:rsid w:val="001D5D16"/>
    <w:rsid w:val="001D67A2"/>
    <w:rsid w:val="001E5838"/>
    <w:rsid w:val="001E74DE"/>
    <w:rsid w:val="001F1247"/>
    <w:rsid w:val="001F3743"/>
    <w:rsid w:val="002001DF"/>
    <w:rsid w:val="00204AB0"/>
    <w:rsid w:val="00216B48"/>
    <w:rsid w:val="00217134"/>
    <w:rsid w:val="002277C4"/>
    <w:rsid w:val="00230BA4"/>
    <w:rsid w:val="00233C2C"/>
    <w:rsid w:val="00234CD2"/>
    <w:rsid w:val="00254018"/>
    <w:rsid w:val="00254EAB"/>
    <w:rsid w:val="00261AF4"/>
    <w:rsid w:val="00262C4D"/>
    <w:rsid w:val="00264401"/>
    <w:rsid w:val="0026477D"/>
    <w:rsid w:val="002701E6"/>
    <w:rsid w:val="00273B57"/>
    <w:rsid w:val="00274580"/>
    <w:rsid w:val="00281ACE"/>
    <w:rsid w:val="002923E8"/>
    <w:rsid w:val="00296667"/>
    <w:rsid w:val="00296891"/>
    <w:rsid w:val="0029768F"/>
    <w:rsid w:val="002A29AE"/>
    <w:rsid w:val="002A6058"/>
    <w:rsid w:val="002A7F7A"/>
    <w:rsid w:val="002A7FB7"/>
    <w:rsid w:val="002D05F5"/>
    <w:rsid w:val="002D5FEF"/>
    <w:rsid w:val="002E2EC1"/>
    <w:rsid w:val="002E7E5C"/>
    <w:rsid w:val="002F0C17"/>
    <w:rsid w:val="002F1DFF"/>
    <w:rsid w:val="002F4CDB"/>
    <w:rsid w:val="00303D42"/>
    <w:rsid w:val="00303DED"/>
    <w:rsid w:val="00307692"/>
    <w:rsid w:val="00310909"/>
    <w:rsid w:val="00320821"/>
    <w:rsid w:val="00327CF1"/>
    <w:rsid w:val="003337CB"/>
    <w:rsid w:val="00336CC3"/>
    <w:rsid w:val="00341639"/>
    <w:rsid w:val="00342ABB"/>
    <w:rsid w:val="00345D4D"/>
    <w:rsid w:val="00361084"/>
    <w:rsid w:val="003620B7"/>
    <w:rsid w:val="00363E80"/>
    <w:rsid w:val="003653FD"/>
    <w:rsid w:val="003754B1"/>
    <w:rsid w:val="00377242"/>
    <w:rsid w:val="00380AD4"/>
    <w:rsid w:val="00385684"/>
    <w:rsid w:val="00387972"/>
    <w:rsid w:val="00396DC4"/>
    <w:rsid w:val="003A2994"/>
    <w:rsid w:val="003B4C9C"/>
    <w:rsid w:val="003D3472"/>
    <w:rsid w:val="003D3C16"/>
    <w:rsid w:val="003E6AA2"/>
    <w:rsid w:val="003F1703"/>
    <w:rsid w:val="003F28EF"/>
    <w:rsid w:val="003F45B6"/>
    <w:rsid w:val="00402340"/>
    <w:rsid w:val="00406094"/>
    <w:rsid w:val="004106F5"/>
    <w:rsid w:val="00412A8D"/>
    <w:rsid w:val="00412D1B"/>
    <w:rsid w:val="00413AF7"/>
    <w:rsid w:val="00413D08"/>
    <w:rsid w:val="004231E8"/>
    <w:rsid w:val="004277DA"/>
    <w:rsid w:val="00427F70"/>
    <w:rsid w:val="00431645"/>
    <w:rsid w:val="0043503B"/>
    <w:rsid w:val="004601B6"/>
    <w:rsid w:val="004646C7"/>
    <w:rsid w:val="00467467"/>
    <w:rsid w:val="00470255"/>
    <w:rsid w:val="00471662"/>
    <w:rsid w:val="004716EC"/>
    <w:rsid w:val="00472D0E"/>
    <w:rsid w:val="00473681"/>
    <w:rsid w:val="004821A6"/>
    <w:rsid w:val="0048680C"/>
    <w:rsid w:val="004A037D"/>
    <w:rsid w:val="004B0360"/>
    <w:rsid w:val="004B3212"/>
    <w:rsid w:val="004B475F"/>
    <w:rsid w:val="004B6DC1"/>
    <w:rsid w:val="004C157A"/>
    <w:rsid w:val="004D2081"/>
    <w:rsid w:val="004E1A78"/>
    <w:rsid w:val="004E1D28"/>
    <w:rsid w:val="004E5F08"/>
    <w:rsid w:val="004F39F5"/>
    <w:rsid w:val="00500645"/>
    <w:rsid w:val="00501AEF"/>
    <w:rsid w:val="00506056"/>
    <w:rsid w:val="005134CB"/>
    <w:rsid w:val="00517E5B"/>
    <w:rsid w:val="00520732"/>
    <w:rsid w:val="00525B66"/>
    <w:rsid w:val="00526A60"/>
    <w:rsid w:val="00526EB1"/>
    <w:rsid w:val="00531D0D"/>
    <w:rsid w:val="00534333"/>
    <w:rsid w:val="005410A6"/>
    <w:rsid w:val="005420FE"/>
    <w:rsid w:val="005427D2"/>
    <w:rsid w:val="005516F9"/>
    <w:rsid w:val="005541D1"/>
    <w:rsid w:val="00554493"/>
    <w:rsid w:val="00557B92"/>
    <w:rsid w:val="00561F4C"/>
    <w:rsid w:val="00565C48"/>
    <w:rsid w:val="0056657B"/>
    <w:rsid w:val="0057259E"/>
    <w:rsid w:val="00575F1A"/>
    <w:rsid w:val="00577EAB"/>
    <w:rsid w:val="0058000E"/>
    <w:rsid w:val="00581953"/>
    <w:rsid w:val="00585D70"/>
    <w:rsid w:val="0058665A"/>
    <w:rsid w:val="00590BC7"/>
    <w:rsid w:val="005A60D1"/>
    <w:rsid w:val="005A65DD"/>
    <w:rsid w:val="005B2C14"/>
    <w:rsid w:val="005B3308"/>
    <w:rsid w:val="005C01E0"/>
    <w:rsid w:val="005C0E77"/>
    <w:rsid w:val="005D45D6"/>
    <w:rsid w:val="005E2198"/>
    <w:rsid w:val="005E4C40"/>
    <w:rsid w:val="005E5A3F"/>
    <w:rsid w:val="005F0E33"/>
    <w:rsid w:val="005F5E37"/>
    <w:rsid w:val="005F6C66"/>
    <w:rsid w:val="005F7D70"/>
    <w:rsid w:val="006005EF"/>
    <w:rsid w:val="00602857"/>
    <w:rsid w:val="00603D1D"/>
    <w:rsid w:val="00604999"/>
    <w:rsid w:val="00611055"/>
    <w:rsid w:val="0061211C"/>
    <w:rsid w:val="00612E46"/>
    <w:rsid w:val="00615751"/>
    <w:rsid w:val="006211F5"/>
    <w:rsid w:val="006232C8"/>
    <w:rsid w:val="006268A7"/>
    <w:rsid w:val="0063058E"/>
    <w:rsid w:val="006307CC"/>
    <w:rsid w:val="00633058"/>
    <w:rsid w:val="0063484A"/>
    <w:rsid w:val="00646A8A"/>
    <w:rsid w:val="00655AA4"/>
    <w:rsid w:val="00655F00"/>
    <w:rsid w:val="006560FB"/>
    <w:rsid w:val="0066495F"/>
    <w:rsid w:val="00670F3C"/>
    <w:rsid w:val="0067247D"/>
    <w:rsid w:val="006725AD"/>
    <w:rsid w:val="00673338"/>
    <w:rsid w:val="00675176"/>
    <w:rsid w:val="00675DE1"/>
    <w:rsid w:val="0068327C"/>
    <w:rsid w:val="0068455A"/>
    <w:rsid w:val="00685856"/>
    <w:rsid w:val="0069151E"/>
    <w:rsid w:val="00692132"/>
    <w:rsid w:val="00692502"/>
    <w:rsid w:val="006A226E"/>
    <w:rsid w:val="006A62D1"/>
    <w:rsid w:val="006A6710"/>
    <w:rsid w:val="006A6910"/>
    <w:rsid w:val="006A746F"/>
    <w:rsid w:val="006A79F6"/>
    <w:rsid w:val="006B6262"/>
    <w:rsid w:val="006C05AB"/>
    <w:rsid w:val="006C1E14"/>
    <w:rsid w:val="006C3972"/>
    <w:rsid w:val="006C4C1D"/>
    <w:rsid w:val="006D7B98"/>
    <w:rsid w:val="006E3735"/>
    <w:rsid w:val="006F085B"/>
    <w:rsid w:val="006F7B2C"/>
    <w:rsid w:val="0070056B"/>
    <w:rsid w:val="007008F5"/>
    <w:rsid w:val="007045E7"/>
    <w:rsid w:val="007117FC"/>
    <w:rsid w:val="00713EAA"/>
    <w:rsid w:val="007142A8"/>
    <w:rsid w:val="00725A65"/>
    <w:rsid w:val="00736D28"/>
    <w:rsid w:val="00736D38"/>
    <w:rsid w:val="00736ED0"/>
    <w:rsid w:val="00740D43"/>
    <w:rsid w:val="007448C8"/>
    <w:rsid w:val="00746B36"/>
    <w:rsid w:val="00747169"/>
    <w:rsid w:val="00751FA0"/>
    <w:rsid w:val="00755125"/>
    <w:rsid w:val="00761E16"/>
    <w:rsid w:val="0077002E"/>
    <w:rsid w:val="00774A43"/>
    <w:rsid w:val="00776CC8"/>
    <w:rsid w:val="00777131"/>
    <w:rsid w:val="00781D8D"/>
    <w:rsid w:val="00792831"/>
    <w:rsid w:val="00794BD4"/>
    <w:rsid w:val="007A4A1D"/>
    <w:rsid w:val="007B1C44"/>
    <w:rsid w:val="007B23C1"/>
    <w:rsid w:val="007B29D3"/>
    <w:rsid w:val="007B4FF2"/>
    <w:rsid w:val="007B5011"/>
    <w:rsid w:val="007C36BE"/>
    <w:rsid w:val="007D4312"/>
    <w:rsid w:val="007D4D67"/>
    <w:rsid w:val="007D588D"/>
    <w:rsid w:val="007D79D9"/>
    <w:rsid w:val="007F0EDA"/>
    <w:rsid w:val="007F2C73"/>
    <w:rsid w:val="007F3B12"/>
    <w:rsid w:val="00805C40"/>
    <w:rsid w:val="00825BAC"/>
    <w:rsid w:val="00831390"/>
    <w:rsid w:val="00831A54"/>
    <w:rsid w:val="008333AC"/>
    <w:rsid w:val="00834767"/>
    <w:rsid w:val="00837988"/>
    <w:rsid w:val="008411B2"/>
    <w:rsid w:val="0084173C"/>
    <w:rsid w:val="00842703"/>
    <w:rsid w:val="00851447"/>
    <w:rsid w:val="00852857"/>
    <w:rsid w:val="00854632"/>
    <w:rsid w:val="008550BA"/>
    <w:rsid w:val="0085708D"/>
    <w:rsid w:val="00857868"/>
    <w:rsid w:val="00865A7C"/>
    <w:rsid w:val="00865E95"/>
    <w:rsid w:val="008910AD"/>
    <w:rsid w:val="00892D7C"/>
    <w:rsid w:val="008A2C26"/>
    <w:rsid w:val="008A4156"/>
    <w:rsid w:val="008B477C"/>
    <w:rsid w:val="008B5463"/>
    <w:rsid w:val="008B72B3"/>
    <w:rsid w:val="008C274E"/>
    <w:rsid w:val="008D02FA"/>
    <w:rsid w:val="008D04D2"/>
    <w:rsid w:val="008D1060"/>
    <w:rsid w:val="008D34D3"/>
    <w:rsid w:val="008D526F"/>
    <w:rsid w:val="008D635D"/>
    <w:rsid w:val="008E042F"/>
    <w:rsid w:val="008E060C"/>
    <w:rsid w:val="008E7AE0"/>
    <w:rsid w:val="008F61D5"/>
    <w:rsid w:val="008F71C2"/>
    <w:rsid w:val="00900FC9"/>
    <w:rsid w:val="00903CAC"/>
    <w:rsid w:val="009045FA"/>
    <w:rsid w:val="0090475D"/>
    <w:rsid w:val="0091152A"/>
    <w:rsid w:val="00911E3D"/>
    <w:rsid w:val="009255AE"/>
    <w:rsid w:val="0093284C"/>
    <w:rsid w:val="00941580"/>
    <w:rsid w:val="009423F8"/>
    <w:rsid w:val="00944BD6"/>
    <w:rsid w:val="00944F2D"/>
    <w:rsid w:val="009520DC"/>
    <w:rsid w:val="00952B70"/>
    <w:rsid w:val="009561C3"/>
    <w:rsid w:val="009702FA"/>
    <w:rsid w:val="0097107E"/>
    <w:rsid w:val="00971D59"/>
    <w:rsid w:val="00975B43"/>
    <w:rsid w:val="00980DF9"/>
    <w:rsid w:val="00981D1D"/>
    <w:rsid w:val="00982221"/>
    <w:rsid w:val="00984676"/>
    <w:rsid w:val="009867E5"/>
    <w:rsid w:val="009870B6"/>
    <w:rsid w:val="0099489B"/>
    <w:rsid w:val="00996592"/>
    <w:rsid w:val="00996D54"/>
    <w:rsid w:val="009A1228"/>
    <w:rsid w:val="009A25EE"/>
    <w:rsid w:val="009A7700"/>
    <w:rsid w:val="009B0891"/>
    <w:rsid w:val="009B4264"/>
    <w:rsid w:val="009B5E94"/>
    <w:rsid w:val="009B7707"/>
    <w:rsid w:val="009C1128"/>
    <w:rsid w:val="009C1B31"/>
    <w:rsid w:val="009C1C8C"/>
    <w:rsid w:val="009C625C"/>
    <w:rsid w:val="009C7C5D"/>
    <w:rsid w:val="009D0D9E"/>
    <w:rsid w:val="009D31F6"/>
    <w:rsid w:val="009D3D39"/>
    <w:rsid w:val="009D4082"/>
    <w:rsid w:val="009D52A6"/>
    <w:rsid w:val="009D6481"/>
    <w:rsid w:val="009E151B"/>
    <w:rsid w:val="009F0C62"/>
    <w:rsid w:val="009F6535"/>
    <w:rsid w:val="00A0600C"/>
    <w:rsid w:val="00A07A28"/>
    <w:rsid w:val="00A11750"/>
    <w:rsid w:val="00A15D53"/>
    <w:rsid w:val="00A16566"/>
    <w:rsid w:val="00A16BB0"/>
    <w:rsid w:val="00A17DBF"/>
    <w:rsid w:val="00A22030"/>
    <w:rsid w:val="00A256E4"/>
    <w:rsid w:val="00A25927"/>
    <w:rsid w:val="00A33159"/>
    <w:rsid w:val="00A37D31"/>
    <w:rsid w:val="00A416A3"/>
    <w:rsid w:val="00A43D87"/>
    <w:rsid w:val="00A44E7D"/>
    <w:rsid w:val="00A44EB7"/>
    <w:rsid w:val="00A47DBF"/>
    <w:rsid w:val="00A51275"/>
    <w:rsid w:val="00A54DF2"/>
    <w:rsid w:val="00A55CE8"/>
    <w:rsid w:val="00A60622"/>
    <w:rsid w:val="00A76D04"/>
    <w:rsid w:val="00A80EF8"/>
    <w:rsid w:val="00A82449"/>
    <w:rsid w:val="00A85CEE"/>
    <w:rsid w:val="00A91432"/>
    <w:rsid w:val="00A915B1"/>
    <w:rsid w:val="00A92752"/>
    <w:rsid w:val="00A9430B"/>
    <w:rsid w:val="00A9499C"/>
    <w:rsid w:val="00A971A7"/>
    <w:rsid w:val="00A97AEA"/>
    <w:rsid w:val="00AA09D9"/>
    <w:rsid w:val="00AA4B7F"/>
    <w:rsid w:val="00AB0637"/>
    <w:rsid w:val="00AB18EB"/>
    <w:rsid w:val="00AB2234"/>
    <w:rsid w:val="00AB47D0"/>
    <w:rsid w:val="00AC2459"/>
    <w:rsid w:val="00AC277C"/>
    <w:rsid w:val="00AC4B6F"/>
    <w:rsid w:val="00AC6167"/>
    <w:rsid w:val="00AC6866"/>
    <w:rsid w:val="00AD13C5"/>
    <w:rsid w:val="00AD22B0"/>
    <w:rsid w:val="00AD38C5"/>
    <w:rsid w:val="00AE3238"/>
    <w:rsid w:val="00AF1ECD"/>
    <w:rsid w:val="00AF321C"/>
    <w:rsid w:val="00AF44A6"/>
    <w:rsid w:val="00B002A1"/>
    <w:rsid w:val="00B00AE6"/>
    <w:rsid w:val="00B070F3"/>
    <w:rsid w:val="00B07EE3"/>
    <w:rsid w:val="00B12302"/>
    <w:rsid w:val="00B124D8"/>
    <w:rsid w:val="00B14440"/>
    <w:rsid w:val="00B14C71"/>
    <w:rsid w:val="00B20ABD"/>
    <w:rsid w:val="00B21961"/>
    <w:rsid w:val="00B21B9B"/>
    <w:rsid w:val="00B305A4"/>
    <w:rsid w:val="00B3324C"/>
    <w:rsid w:val="00B36E7A"/>
    <w:rsid w:val="00B44329"/>
    <w:rsid w:val="00B458B2"/>
    <w:rsid w:val="00B45EB7"/>
    <w:rsid w:val="00B517A2"/>
    <w:rsid w:val="00B51C90"/>
    <w:rsid w:val="00B5677A"/>
    <w:rsid w:val="00B57E09"/>
    <w:rsid w:val="00B648F8"/>
    <w:rsid w:val="00B653EB"/>
    <w:rsid w:val="00B66B6D"/>
    <w:rsid w:val="00B670FA"/>
    <w:rsid w:val="00B84B15"/>
    <w:rsid w:val="00B8744D"/>
    <w:rsid w:val="00B9185C"/>
    <w:rsid w:val="00B92A27"/>
    <w:rsid w:val="00BA623A"/>
    <w:rsid w:val="00BB10D9"/>
    <w:rsid w:val="00BB31BF"/>
    <w:rsid w:val="00BB39EB"/>
    <w:rsid w:val="00BC08E6"/>
    <w:rsid w:val="00BC2E24"/>
    <w:rsid w:val="00BD051B"/>
    <w:rsid w:val="00BD0E3C"/>
    <w:rsid w:val="00BD7DDF"/>
    <w:rsid w:val="00BD7F82"/>
    <w:rsid w:val="00BE5A9B"/>
    <w:rsid w:val="00BE6F3F"/>
    <w:rsid w:val="00BF47D0"/>
    <w:rsid w:val="00BF7E99"/>
    <w:rsid w:val="00C041C3"/>
    <w:rsid w:val="00C041D7"/>
    <w:rsid w:val="00C0693F"/>
    <w:rsid w:val="00C1311F"/>
    <w:rsid w:val="00C13502"/>
    <w:rsid w:val="00C13967"/>
    <w:rsid w:val="00C147C5"/>
    <w:rsid w:val="00C2134B"/>
    <w:rsid w:val="00C217AA"/>
    <w:rsid w:val="00C25E07"/>
    <w:rsid w:val="00C26D8E"/>
    <w:rsid w:val="00C26F35"/>
    <w:rsid w:val="00C30A1E"/>
    <w:rsid w:val="00C33101"/>
    <w:rsid w:val="00C37219"/>
    <w:rsid w:val="00C37928"/>
    <w:rsid w:val="00C44136"/>
    <w:rsid w:val="00C45B7D"/>
    <w:rsid w:val="00C5303C"/>
    <w:rsid w:val="00C54480"/>
    <w:rsid w:val="00C5464A"/>
    <w:rsid w:val="00C62637"/>
    <w:rsid w:val="00C66126"/>
    <w:rsid w:val="00C664B1"/>
    <w:rsid w:val="00C75B10"/>
    <w:rsid w:val="00C7698B"/>
    <w:rsid w:val="00C7709E"/>
    <w:rsid w:val="00C818AC"/>
    <w:rsid w:val="00C8765C"/>
    <w:rsid w:val="00C9010D"/>
    <w:rsid w:val="00C903F3"/>
    <w:rsid w:val="00C9285D"/>
    <w:rsid w:val="00C928E2"/>
    <w:rsid w:val="00C977C2"/>
    <w:rsid w:val="00C97B09"/>
    <w:rsid w:val="00CB7750"/>
    <w:rsid w:val="00CC022A"/>
    <w:rsid w:val="00CD0BF1"/>
    <w:rsid w:val="00CD6CB5"/>
    <w:rsid w:val="00CE1725"/>
    <w:rsid w:val="00D10082"/>
    <w:rsid w:val="00D1688C"/>
    <w:rsid w:val="00D16C5E"/>
    <w:rsid w:val="00D2172A"/>
    <w:rsid w:val="00D268F9"/>
    <w:rsid w:val="00D27EE9"/>
    <w:rsid w:val="00D31F60"/>
    <w:rsid w:val="00D32413"/>
    <w:rsid w:val="00D377AE"/>
    <w:rsid w:val="00D52F2E"/>
    <w:rsid w:val="00D545C5"/>
    <w:rsid w:val="00D64DC0"/>
    <w:rsid w:val="00D65896"/>
    <w:rsid w:val="00D74829"/>
    <w:rsid w:val="00D804A3"/>
    <w:rsid w:val="00D81501"/>
    <w:rsid w:val="00D8212F"/>
    <w:rsid w:val="00D906DC"/>
    <w:rsid w:val="00DA238F"/>
    <w:rsid w:val="00DA2A96"/>
    <w:rsid w:val="00DA33AF"/>
    <w:rsid w:val="00DB53B0"/>
    <w:rsid w:val="00DB5A17"/>
    <w:rsid w:val="00DB6ACC"/>
    <w:rsid w:val="00DB75C3"/>
    <w:rsid w:val="00DC467C"/>
    <w:rsid w:val="00DD3D5B"/>
    <w:rsid w:val="00DE0508"/>
    <w:rsid w:val="00DE3D83"/>
    <w:rsid w:val="00DE64AA"/>
    <w:rsid w:val="00DE697D"/>
    <w:rsid w:val="00DF4D1A"/>
    <w:rsid w:val="00DF65DF"/>
    <w:rsid w:val="00E01FE3"/>
    <w:rsid w:val="00E032E7"/>
    <w:rsid w:val="00E07300"/>
    <w:rsid w:val="00E15F7F"/>
    <w:rsid w:val="00E16248"/>
    <w:rsid w:val="00E23F71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0E68"/>
    <w:rsid w:val="00E61891"/>
    <w:rsid w:val="00E6272A"/>
    <w:rsid w:val="00E6374D"/>
    <w:rsid w:val="00E65AE0"/>
    <w:rsid w:val="00E7139F"/>
    <w:rsid w:val="00E764FF"/>
    <w:rsid w:val="00E779A8"/>
    <w:rsid w:val="00E800B7"/>
    <w:rsid w:val="00E86CDA"/>
    <w:rsid w:val="00E91151"/>
    <w:rsid w:val="00E91FC7"/>
    <w:rsid w:val="00E9410C"/>
    <w:rsid w:val="00E94FDB"/>
    <w:rsid w:val="00E95519"/>
    <w:rsid w:val="00E97817"/>
    <w:rsid w:val="00EA0ACA"/>
    <w:rsid w:val="00EB01D7"/>
    <w:rsid w:val="00EB2EC5"/>
    <w:rsid w:val="00EB3B91"/>
    <w:rsid w:val="00EB458E"/>
    <w:rsid w:val="00EB4892"/>
    <w:rsid w:val="00EB7FBA"/>
    <w:rsid w:val="00EC01E7"/>
    <w:rsid w:val="00EC04F8"/>
    <w:rsid w:val="00ED2E05"/>
    <w:rsid w:val="00ED5D52"/>
    <w:rsid w:val="00EE0BBB"/>
    <w:rsid w:val="00EE14CE"/>
    <w:rsid w:val="00EE4243"/>
    <w:rsid w:val="00EF2DED"/>
    <w:rsid w:val="00EF38CA"/>
    <w:rsid w:val="00EF38E7"/>
    <w:rsid w:val="00EF40CA"/>
    <w:rsid w:val="00EF611E"/>
    <w:rsid w:val="00EF6902"/>
    <w:rsid w:val="00F007DB"/>
    <w:rsid w:val="00F14CFE"/>
    <w:rsid w:val="00F15489"/>
    <w:rsid w:val="00F15C46"/>
    <w:rsid w:val="00F32AB6"/>
    <w:rsid w:val="00F33355"/>
    <w:rsid w:val="00F343AA"/>
    <w:rsid w:val="00F355F9"/>
    <w:rsid w:val="00F359CE"/>
    <w:rsid w:val="00F45499"/>
    <w:rsid w:val="00F46EFC"/>
    <w:rsid w:val="00F500AC"/>
    <w:rsid w:val="00F5284F"/>
    <w:rsid w:val="00F54727"/>
    <w:rsid w:val="00F601BE"/>
    <w:rsid w:val="00F657FB"/>
    <w:rsid w:val="00F714B0"/>
    <w:rsid w:val="00F8399F"/>
    <w:rsid w:val="00F848D4"/>
    <w:rsid w:val="00F8614A"/>
    <w:rsid w:val="00FA169A"/>
    <w:rsid w:val="00FA4911"/>
    <w:rsid w:val="00FA49FE"/>
    <w:rsid w:val="00FA7941"/>
    <w:rsid w:val="00FC023A"/>
    <w:rsid w:val="00FD1180"/>
    <w:rsid w:val="00FD61C7"/>
    <w:rsid w:val="00FD7412"/>
    <w:rsid w:val="00FE6618"/>
    <w:rsid w:val="00FF06E6"/>
    <w:rsid w:val="00FF295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F82B4C0-5D40-4445-A77C-85B99EFC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NoSpacing">
    <w:name w:val="No Spacing"/>
    <w:uiPriority w:val="1"/>
    <w:qFormat/>
    <w:rsid w:val="002A7FB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2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iss.state.pa.us/par/EntryForm.asp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aiss.state.pa.us/HR-Pay_Help_De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aiss.state.pa.us/par/EntryForm.as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PA_ALERT_2013_xx_Description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96A2B3-7E7E-460F-A2A2-2B7BE6137590}"/>
</file>

<file path=customXml/itemProps2.xml><?xml version="1.0" encoding="utf-8"?>
<ds:datastoreItem xmlns:ds="http://schemas.openxmlformats.org/officeDocument/2006/customXml" ds:itemID="{EC4D4ACF-1DED-4DB8-9EAE-83AC7B8D30EA}"/>
</file>

<file path=customXml/itemProps3.xml><?xml version="1.0" encoding="utf-8"?>
<ds:datastoreItem xmlns:ds="http://schemas.openxmlformats.org/officeDocument/2006/customXml" ds:itemID="{0CBD490A-5F20-4C4D-9FED-D646B5542442}"/>
</file>

<file path=customXml/itemProps4.xml><?xml version="1.0" encoding="utf-8"?>
<ds:datastoreItem xmlns:ds="http://schemas.openxmlformats.org/officeDocument/2006/customXml" ds:itemID="{BF0B9BD7-E8AA-45AD-9D6B-A972789085D3}"/>
</file>

<file path=docProps/app.xml><?xml version="1.0" encoding="utf-8"?>
<Properties xmlns="http://schemas.openxmlformats.org/officeDocument/2006/extended-properties" xmlns:vt="http://schemas.openxmlformats.org/officeDocument/2006/docPropsVTypes">
  <Template>PA_ALERT_2013_xx_Description_Text.dotx</Template>
  <TotalTime>0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2015 Mass Compensation Processing</vt:lpstr>
    </vt:vector>
  </TitlesOfParts>
  <Company>Office of Administration</Company>
  <LinksUpToDate>false</LinksUpToDate>
  <CharactersWithSpaces>5598</CharactersWithSpaces>
  <SharedDoc>false</SharedDoc>
  <HLinks>
    <vt:vector size="18" baseType="variant">
      <vt:variant>
        <vt:i4>5373966</vt:i4>
      </vt:variant>
      <vt:variant>
        <vt:i4>6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2293862</vt:i4>
      </vt:variant>
      <vt:variant>
        <vt:i4>3</vt:i4>
      </vt:variant>
      <vt:variant>
        <vt:i4>0</vt:i4>
      </vt:variant>
      <vt:variant>
        <vt:i4>5</vt:i4>
      </vt:variant>
      <vt:variant>
        <vt:lpwstr>https://oaiss.state.pa.us/par/EntryForm.asp</vt:lpwstr>
      </vt:variant>
      <vt:variant>
        <vt:lpwstr/>
      </vt:variant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https://oaiss.state.pa.us/par/EntryForm.asp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2015 Mass Compensation Processing</dc:title>
  <dc:subject>Information regarding the schedule for the January 2015 mass compensation processing</dc:subject>
  <dc:creator>Rummel, Jordan</dc:creator>
  <cp:keywords>Description, Keywords, Operations, Personnel Administration</cp:keywords>
  <cp:lastModifiedBy>Carroll, Theresa (OA)</cp:lastModifiedBy>
  <cp:revision>2</cp:revision>
  <cp:lastPrinted>2016-06-28T19:20:00Z</cp:lastPrinted>
  <dcterms:created xsi:type="dcterms:W3CDTF">2016-08-09T13:29:00Z</dcterms:created>
  <dcterms:modified xsi:type="dcterms:W3CDTF">2016-08-09T13:29:00Z</dcterms:modified>
  <cp:category>Personnel Administration Alert</cp:category>
  <cp:contentStatus>2014-23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