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3976" w14:textId="77777777" w:rsidR="002C4D9B" w:rsidRDefault="00F650B4" w:rsidP="002C4D9B">
      <w:pPr>
        <w:pStyle w:val="Title"/>
        <w:rPr>
          <w:rFonts w:cs="Arial"/>
          <w:sz w:val="40"/>
          <w:szCs w:val="40"/>
          <w:u w:val="single"/>
        </w:rPr>
      </w:pPr>
      <w:bookmarkStart w:id="0" w:name="_GoBack"/>
      <w:bookmarkEnd w:id="0"/>
      <w:r>
        <w:rPr>
          <w:rFonts w:cs="Arial"/>
          <w:sz w:val="40"/>
          <w:szCs w:val="40"/>
          <w:u w:val="single"/>
        </w:rPr>
        <w:t xml:space="preserve">SUPPLEMENTAL </w:t>
      </w:r>
      <w:r w:rsidR="000E4E04">
        <w:rPr>
          <w:rFonts w:cs="Arial"/>
          <w:sz w:val="40"/>
          <w:szCs w:val="40"/>
          <w:u w:val="single"/>
        </w:rPr>
        <w:t xml:space="preserve">ONE TIME PAYMENT </w:t>
      </w:r>
      <w:r w:rsidR="002C4D9B" w:rsidRPr="00C706D2">
        <w:rPr>
          <w:rFonts w:cs="Arial"/>
          <w:sz w:val="40"/>
          <w:szCs w:val="40"/>
          <w:u w:val="single"/>
        </w:rPr>
        <w:t>- PA40</w:t>
      </w:r>
    </w:p>
    <w:p w14:paraId="54CB3977" w14:textId="77777777" w:rsidR="002C4D9B" w:rsidRDefault="002C4D9B" w:rsidP="002C4D9B">
      <w:pPr>
        <w:jc w:val="center"/>
        <w:rPr>
          <w:rFonts w:cs="Arial"/>
          <w:b/>
          <w:bCs/>
          <w:i/>
          <w:iCs/>
          <w:szCs w:val="22"/>
        </w:rPr>
      </w:pPr>
    </w:p>
    <w:p w14:paraId="54CB3978" w14:textId="77777777" w:rsidR="002C4D9B" w:rsidRDefault="002C4D9B" w:rsidP="0032440E">
      <w:pPr>
        <w:rPr>
          <w:rFonts w:cs="Arial"/>
          <w:b/>
          <w:bCs/>
          <w:i/>
          <w:iCs/>
          <w:szCs w:val="22"/>
        </w:rPr>
      </w:pPr>
    </w:p>
    <w:p w14:paraId="54CB3979" w14:textId="77777777" w:rsidR="0058358A" w:rsidRDefault="0058358A">
      <w:pPr>
        <w:pStyle w:val="TOCHeading"/>
      </w:pPr>
    </w:p>
    <w:sdt>
      <w:sdtPr>
        <w:rPr>
          <w:rFonts w:ascii="Arial" w:hAnsi="Arial"/>
          <w:b w:val="0"/>
          <w:bCs w:val="0"/>
          <w:color w:val="auto"/>
          <w:sz w:val="22"/>
          <w:szCs w:val="24"/>
        </w:rPr>
        <w:id w:val="21560907"/>
        <w:docPartObj>
          <w:docPartGallery w:val="Table of Contents"/>
          <w:docPartUnique/>
        </w:docPartObj>
      </w:sdtPr>
      <w:sdtEndPr/>
      <w:sdtContent>
        <w:p w14:paraId="54CB397A" w14:textId="77777777" w:rsidR="0058358A" w:rsidRDefault="0058358A">
          <w:pPr>
            <w:pStyle w:val="TOCHeading"/>
          </w:pPr>
          <w:r>
            <w:t>Contents</w:t>
          </w:r>
        </w:p>
        <w:p w14:paraId="54CB397B" w14:textId="77777777" w:rsidR="00164C40" w:rsidRDefault="0004214B">
          <w:pPr>
            <w:pStyle w:val="TOC1"/>
            <w:tabs>
              <w:tab w:val="right" w:leader="dot" w:pos="9350"/>
            </w:tabs>
            <w:rPr>
              <w:rFonts w:asciiTheme="minorHAnsi" w:eastAsiaTheme="minorEastAsia" w:hAnsiTheme="minorHAnsi" w:cstheme="minorBidi"/>
              <w:noProof/>
              <w:szCs w:val="22"/>
            </w:rPr>
          </w:pPr>
          <w:r>
            <w:fldChar w:fldCharType="begin"/>
          </w:r>
          <w:r w:rsidR="0058358A">
            <w:instrText xml:space="preserve"> TOC \o "1-3" \h \z \u </w:instrText>
          </w:r>
          <w:r>
            <w:fldChar w:fldCharType="separate"/>
          </w:r>
          <w:hyperlink w:anchor="_Toc293388782" w:history="1">
            <w:r w:rsidR="00164C40" w:rsidRPr="00FA30A0">
              <w:rPr>
                <w:rStyle w:val="Hyperlink"/>
                <w:noProof/>
              </w:rPr>
              <w:t>Special Notes related to Military Stipends</w:t>
            </w:r>
            <w:r w:rsidR="00164C40">
              <w:rPr>
                <w:noProof/>
                <w:webHidden/>
              </w:rPr>
              <w:tab/>
            </w:r>
            <w:r>
              <w:rPr>
                <w:noProof/>
                <w:webHidden/>
              </w:rPr>
              <w:fldChar w:fldCharType="begin"/>
            </w:r>
            <w:r w:rsidR="00164C40">
              <w:rPr>
                <w:noProof/>
                <w:webHidden/>
              </w:rPr>
              <w:instrText xml:space="preserve"> PAGEREF _Toc293388782 \h </w:instrText>
            </w:r>
            <w:r>
              <w:rPr>
                <w:noProof/>
                <w:webHidden/>
              </w:rPr>
            </w:r>
            <w:r>
              <w:rPr>
                <w:noProof/>
                <w:webHidden/>
              </w:rPr>
              <w:fldChar w:fldCharType="separate"/>
            </w:r>
            <w:r w:rsidR="00164C40">
              <w:rPr>
                <w:noProof/>
                <w:webHidden/>
              </w:rPr>
              <w:t>1</w:t>
            </w:r>
            <w:r>
              <w:rPr>
                <w:noProof/>
                <w:webHidden/>
              </w:rPr>
              <w:fldChar w:fldCharType="end"/>
            </w:r>
          </w:hyperlink>
        </w:p>
        <w:p w14:paraId="54CB397C"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3" w:history="1">
            <w:r w:rsidR="00164C40" w:rsidRPr="00FA30A0">
              <w:rPr>
                <w:rStyle w:val="Hyperlink"/>
                <w:noProof/>
              </w:rPr>
              <w:t>DEP Emergency Response Team Payments</w:t>
            </w:r>
            <w:r w:rsidR="00164C40">
              <w:rPr>
                <w:noProof/>
                <w:webHidden/>
              </w:rPr>
              <w:tab/>
            </w:r>
            <w:r w:rsidR="0004214B">
              <w:rPr>
                <w:noProof/>
                <w:webHidden/>
              </w:rPr>
              <w:fldChar w:fldCharType="begin"/>
            </w:r>
            <w:r w:rsidR="00164C40">
              <w:rPr>
                <w:noProof/>
                <w:webHidden/>
              </w:rPr>
              <w:instrText xml:space="preserve"> PAGEREF _Toc293388783 \h </w:instrText>
            </w:r>
            <w:r w:rsidR="0004214B">
              <w:rPr>
                <w:noProof/>
                <w:webHidden/>
              </w:rPr>
            </w:r>
            <w:r w:rsidR="0004214B">
              <w:rPr>
                <w:noProof/>
                <w:webHidden/>
              </w:rPr>
              <w:fldChar w:fldCharType="separate"/>
            </w:r>
            <w:r w:rsidR="00164C40">
              <w:rPr>
                <w:noProof/>
                <w:webHidden/>
              </w:rPr>
              <w:t>2</w:t>
            </w:r>
            <w:r w:rsidR="0004214B">
              <w:rPr>
                <w:noProof/>
                <w:webHidden/>
              </w:rPr>
              <w:fldChar w:fldCharType="end"/>
            </w:r>
          </w:hyperlink>
        </w:p>
        <w:p w14:paraId="54CB397D"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4" w:history="1">
            <w:r w:rsidR="00164C40" w:rsidRPr="00FA30A0">
              <w:rPr>
                <w:rStyle w:val="Hyperlink"/>
                <w:noProof/>
              </w:rPr>
              <w:t>PA40:</w:t>
            </w:r>
            <w:r w:rsidR="00164C40">
              <w:rPr>
                <w:noProof/>
                <w:webHidden/>
              </w:rPr>
              <w:tab/>
            </w:r>
            <w:r w:rsidR="0004214B">
              <w:rPr>
                <w:noProof/>
                <w:webHidden/>
              </w:rPr>
              <w:fldChar w:fldCharType="begin"/>
            </w:r>
            <w:r w:rsidR="00164C40">
              <w:rPr>
                <w:noProof/>
                <w:webHidden/>
              </w:rPr>
              <w:instrText xml:space="preserve"> PAGEREF _Toc293388784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7E"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5" w:history="1">
            <w:r w:rsidR="00164C40" w:rsidRPr="00FA30A0">
              <w:rPr>
                <w:rStyle w:val="Hyperlink"/>
                <w:noProof/>
              </w:rPr>
              <w:t>Infotype 0000:</w:t>
            </w:r>
            <w:r w:rsidR="00164C40">
              <w:rPr>
                <w:noProof/>
                <w:webHidden/>
              </w:rPr>
              <w:tab/>
            </w:r>
            <w:r w:rsidR="0004214B">
              <w:rPr>
                <w:noProof/>
                <w:webHidden/>
              </w:rPr>
              <w:fldChar w:fldCharType="begin"/>
            </w:r>
            <w:r w:rsidR="00164C40">
              <w:rPr>
                <w:noProof/>
                <w:webHidden/>
              </w:rPr>
              <w:instrText xml:space="preserve"> PAGEREF _Toc293388785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7F"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6" w:history="1">
            <w:r w:rsidR="00164C40" w:rsidRPr="00FA30A0">
              <w:rPr>
                <w:rStyle w:val="Hyperlink"/>
                <w:noProof/>
              </w:rPr>
              <w:t>Infotype 0001:</w:t>
            </w:r>
            <w:r w:rsidR="00164C40">
              <w:rPr>
                <w:noProof/>
                <w:webHidden/>
              </w:rPr>
              <w:tab/>
            </w:r>
            <w:r w:rsidR="0004214B">
              <w:rPr>
                <w:noProof/>
                <w:webHidden/>
              </w:rPr>
              <w:fldChar w:fldCharType="begin"/>
            </w:r>
            <w:r w:rsidR="00164C40">
              <w:rPr>
                <w:noProof/>
                <w:webHidden/>
              </w:rPr>
              <w:instrText xml:space="preserve"> PAGEREF _Toc293388786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80"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7" w:history="1">
            <w:r w:rsidR="00164C40" w:rsidRPr="00FA30A0">
              <w:rPr>
                <w:rStyle w:val="Hyperlink"/>
                <w:noProof/>
              </w:rPr>
              <w:t>Infotype 0015:</w:t>
            </w:r>
            <w:r w:rsidR="00164C40">
              <w:rPr>
                <w:noProof/>
                <w:webHidden/>
              </w:rPr>
              <w:tab/>
            </w:r>
            <w:r w:rsidR="0004214B">
              <w:rPr>
                <w:noProof/>
                <w:webHidden/>
              </w:rPr>
              <w:fldChar w:fldCharType="begin"/>
            </w:r>
            <w:r w:rsidR="00164C40">
              <w:rPr>
                <w:noProof/>
                <w:webHidden/>
              </w:rPr>
              <w:instrText xml:space="preserve"> PAGEREF _Toc293388787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81"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8" w:history="1">
            <w:r w:rsidR="00164C40" w:rsidRPr="00FA30A0">
              <w:rPr>
                <w:rStyle w:val="Hyperlink"/>
                <w:noProof/>
              </w:rPr>
              <w:t>Infotype 0041</w:t>
            </w:r>
            <w:r w:rsidR="00164C40">
              <w:rPr>
                <w:noProof/>
                <w:webHidden/>
              </w:rPr>
              <w:tab/>
            </w:r>
            <w:r w:rsidR="0004214B">
              <w:rPr>
                <w:noProof/>
                <w:webHidden/>
              </w:rPr>
              <w:fldChar w:fldCharType="begin"/>
            </w:r>
            <w:r w:rsidR="00164C40">
              <w:rPr>
                <w:noProof/>
                <w:webHidden/>
              </w:rPr>
              <w:instrText xml:space="preserve"> PAGEREF _Toc293388788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82" w14:textId="77777777" w:rsidR="0058358A" w:rsidRDefault="0004214B">
          <w:r>
            <w:fldChar w:fldCharType="end"/>
          </w:r>
        </w:p>
      </w:sdtContent>
    </w:sdt>
    <w:p w14:paraId="54CB3983" w14:textId="77777777" w:rsidR="007D1957" w:rsidRPr="007C29D5" w:rsidRDefault="007D1957" w:rsidP="0032440E">
      <w:pPr>
        <w:rPr>
          <w:rFonts w:cs="Arial"/>
          <w:b/>
          <w:bCs/>
          <w:i/>
          <w:iCs/>
          <w:szCs w:val="22"/>
        </w:rPr>
      </w:pPr>
    </w:p>
    <w:p w14:paraId="54CB3984" w14:textId="77777777" w:rsidR="007D1957" w:rsidRPr="007C29D5" w:rsidRDefault="007D1957" w:rsidP="0032440E">
      <w:pPr>
        <w:rPr>
          <w:rFonts w:cs="Arial"/>
          <w:b/>
          <w:bCs/>
          <w:i/>
          <w:iCs/>
          <w:szCs w:val="22"/>
        </w:rPr>
      </w:pPr>
    </w:p>
    <w:p w14:paraId="54CB3985" w14:textId="77777777" w:rsidR="007D1957" w:rsidRDefault="007D1957" w:rsidP="0032440E">
      <w:pPr>
        <w:rPr>
          <w:rFonts w:cs="Arial"/>
          <w:b/>
          <w:bCs/>
          <w:i/>
          <w:iCs/>
          <w:szCs w:val="22"/>
        </w:rPr>
      </w:pPr>
    </w:p>
    <w:p w14:paraId="54CB3986" w14:textId="77777777" w:rsidR="007D1957" w:rsidRDefault="007D1957" w:rsidP="0032440E">
      <w:pPr>
        <w:rPr>
          <w:rFonts w:cs="Arial"/>
          <w:b/>
          <w:bCs/>
          <w:i/>
          <w:iCs/>
          <w:szCs w:val="22"/>
        </w:rPr>
      </w:pPr>
    </w:p>
    <w:p w14:paraId="54CB3987" w14:textId="77777777" w:rsidR="007D1957" w:rsidRDefault="00272D11" w:rsidP="0032440E">
      <w:pPr>
        <w:rPr>
          <w:rFonts w:cs="Arial"/>
          <w:bCs/>
          <w:iCs/>
          <w:szCs w:val="22"/>
        </w:rPr>
      </w:pPr>
      <w:r>
        <w:rPr>
          <w:rFonts w:cs="Arial"/>
          <w:bCs/>
          <w:iCs/>
          <w:szCs w:val="22"/>
        </w:rPr>
        <w:t xml:space="preserve">The Human Resource Office determines that an employee is entitled </w:t>
      </w:r>
      <w:r w:rsidR="00C97687">
        <w:rPr>
          <w:rFonts w:cs="Arial"/>
          <w:bCs/>
          <w:iCs/>
          <w:szCs w:val="22"/>
        </w:rPr>
        <w:t>to</w:t>
      </w:r>
      <w:r>
        <w:rPr>
          <w:rFonts w:cs="Arial"/>
          <w:bCs/>
          <w:iCs/>
          <w:szCs w:val="22"/>
        </w:rPr>
        <w:t xml:space="preserve"> receive a onetime supplemental payment and creates a PAR.</w:t>
      </w:r>
    </w:p>
    <w:p w14:paraId="54CB3988" w14:textId="77777777" w:rsidR="00272D11" w:rsidRDefault="00272D11" w:rsidP="0032440E">
      <w:pPr>
        <w:rPr>
          <w:rFonts w:cs="Arial"/>
          <w:bCs/>
          <w:iCs/>
          <w:szCs w:val="22"/>
        </w:rPr>
      </w:pPr>
    </w:p>
    <w:p w14:paraId="54CB3989" w14:textId="77777777" w:rsidR="00272D11" w:rsidRPr="00272D11" w:rsidRDefault="00272D11" w:rsidP="0032440E">
      <w:pPr>
        <w:rPr>
          <w:rFonts w:cs="Arial"/>
          <w:bCs/>
          <w:iCs/>
          <w:szCs w:val="22"/>
        </w:rPr>
      </w:pPr>
    </w:p>
    <w:p w14:paraId="54CB398A" w14:textId="77777777" w:rsidR="00272D11" w:rsidRPr="00272D11" w:rsidRDefault="00272D11" w:rsidP="0058358A">
      <w:pPr>
        <w:rPr>
          <w:bCs/>
        </w:rPr>
      </w:pPr>
      <w:r w:rsidRPr="00272D11">
        <w:t>Trigger(s):</w:t>
      </w:r>
    </w:p>
    <w:p w14:paraId="54CB398B" w14:textId="77777777" w:rsidR="00272D11" w:rsidRDefault="00272D11" w:rsidP="00272D11"/>
    <w:p w14:paraId="54CB398C" w14:textId="77777777" w:rsidR="007D1957" w:rsidRDefault="00272D11" w:rsidP="00272D11">
      <w:pPr>
        <w:rPr>
          <w:rFonts w:cs="Arial"/>
          <w:bCs/>
        </w:rPr>
      </w:pPr>
      <w:r>
        <w:rPr>
          <w:rFonts w:cs="Arial"/>
          <w:bCs/>
        </w:rPr>
        <w:t>An employee receives a management cash performance award, is entitled to receive a highway agility program cash payment, or is entitled to receive any other type of one-time payment.</w:t>
      </w:r>
    </w:p>
    <w:p w14:paraId="54CB398D" w14:textId="77777777" w:rsidR="00C97687" w:rsidRDefault="00C97687" w:rsidP="00272D11">
      <w:pPr>
        <w:rPr>
          <w:rFonts w:cs="Arial"/>
          <w:b/>
          <w:bCs/>
          <w:i/>
          <w:iCs/>
          <w:szCs w:val="22"/>
        </w:rPr>
      </w:pPr>
    </w:p>
    <w:p w14:paraId="54CB398E" w14:textId="77777777" w:rsidR="007D1957" w:rsidRDefault="007D1957" w:rsidP="0032440E">
      <w:pPr>
        <w:rPr>
          <w:rFonts w:cs="Arial"/>
          <w:b/>
          <w:bCs/>
          <w:i/>
          <w:iCs/>
          <w:szCs w:val="22"/>
        </w:rPr>
      </w:pPr>
    </w:p>
    <w:p w14:paraId="54CB398F" w14:textId="77777777" w:rsidR="007D1957" w:rsidRDefault="007D1957" w:rsidP="0058358A">
      <w:pPr>
        <w:pStyle w:val="Heading1"/>
      </w:pPr>
    </w:p>
    <w:p w14:paraId="54CB3990" w14:textId="77777777" w:rsidR="00272D11" w:rsidRPr="00423F7E" w:rsidRDefault="00272D11" w:rsidP="0058358A">
      <w:pPr>
        <w:pStyle w:val="Heading1"/>
        <w:rPr>
          <w:color w:val="FF0000"/>
          <w:u w:val="single"/>
        </w:rPr>
      </w:pPr>
      <w:bookmarkStart w:id="1" w:name="_Toc293388782"/>
      <w:r w:rsidRPr="00423F7E">
        <w:rPr>
          <w:u w:val="single"/>
        </w:rPr>
        <w:t>Special Notes related to Military Stipends</w:t>
      </w:r>
      <w:bookmarkEnd w:id="1"/>
      <w:r>
        <w:rPr>
          <w:u w:val="single"/>
        </w:rPr>
        <w:t xml:space="preserve"> </w:t>
      </w:r>
    </w:p>
    <w:p w14:paraId="54CB3991" w14:textId="77777777" w:rsidR="007D1957" w:rsidRPr="0058358A" w:rsidRDefault="00272D11" w:rsidP="00272D11">
      <w:pPr>
        <w:rPr>
          <w:rFonts w:cs="Arial"/>
          <w:bCs/>
          <w:i/>
          <w:iCs/>
          <w:szCs w:val="22"/>
        </w:rPr>
      </w:pPr>
      <w:r w:rsidRPr="0058358A">
        <w:rPr>
          <w:rFonts w:cs="Arial"/>
          <w:szCs w:val="20"/>
        </w:rPr>
        <w:t xml:space="preserve">Employees are not entitled to military stipend payments until the last pay of the month </w:t>
      </w:r>
      <w:r w:rsidRPr="0058358A">
        <w:rPr>
          <w:rFonts w:cs="Arial"/>
          <w:color w:val="0000FF"/>
          <w:szCs w:val="20"/>
          <w:u w:val="single"/>
        </w:rPr>
        <w:t>after</w:t>
      </w:r>
      <w:r w:rsidRPr="0058358A">
        <w:rPr>
          <w:rFonts w:cs="Arial"/>
          <w:szCs w:val="20"/>
        </w:rPr>
        <w:t xml:space="preserve"> they start military leave.</w:t>
      </w:r>
      <w:r w:rsidRPr="0058358A">
        <w:rPr>
          <w:rFonts w:ascii="Footlight MT Light" w:hAnsi="Footlight MT Light"/>
          <w:sz w:val="27"/>
          <w:szCs w:val="27"/>
        </w:rPr>
        <w:t xml:space="preserve">  </w:t>
      </w:r>
      <w:r w:rsidRPr="0058358A">
        <w:t>Military stipends are set to be paid to employees the last pay of each month, which actually means the payment is processed during the previous pay period.  Therefore, in order for an employee to receive a partial stipend for the month</w:t>
      </w:r>
    </w:p>
    <w:p w14:paraId="54CB3992" w14:textId="77777777" w:rsidR="00272D11" w:rsidRPr="0058358A" w:rsidRDefault="00272D11" w:rsidP="00272D11">
      <w:r w:rsidRPr="0058358A">
        <w:t xml:space="preserve">AFTER it was earned, the Supplemental One Time payment must be processed with a </w:t>
      </w:r>
      <w:r w:rsidRPr="0058358A">
        <w:br/>
        <w:t xml:space="preserve">”Date of Origin” on IT0015 which falls within the pay period which will be paid on the last pay of the month.  </w:t>
      </w:r>
    </w:p>
    <w:p w14:paraId="54CB3993" w14:textId="77777777" w:rsidR="00272D11" w:rsidRPr="0058358A" w:rsidRDefault="00272D11" w:rsidP="00272D11"/>
    <w:p w14:paraId="54CB3994" w14:textId="77777777" w:rsidR="00272D11" w:rsidRPr="0058358A" w:rsidRDefault="00272D11" w:rsidP="00272D11">
      <w:r w:rsidRPr="0058358A">
        <w:t>Example: PayArea Z2 employee began Military LWOP on February 14th, 2005 and is therefore due a partial military stipend in March which would be paid on March 25th for pay period ending March 11th.  When processing the Supplemental Onetime Payment action, the date of origin would have to be a date which falls in the pay period ending 3/11 - we suggest using the last day of the pay period (3/11).</w:t>
      </w:r>
    </w:p>
    <w:p w14:paraId="54CB3995" w14:textId="77777777" w:rsidR="00272D11" w:rsidRPr="0058358A" w:rsidRDefault="00272D11" w:rsidP="00272D11"/>
    <w:p w14:paraId="54CB3996" w14:textId="77777777" w:rsidR="00272D11" w:rsidRPr="0058358A" w:rsidRDefault="00272D11" w:rsidP="00272D11">
      <w:r w:rsidRPr="0058358A">
        <w:t xml:space="preserve">Likewise, when an employee is returning from military leave, and is entitled to a partial payment for the last month, you would process a PA40 Supplemental One-time payment and insure the </w:t>
      </w:r>
      <w:r w:rsidRPr="0058358A">
        <w:lastRenderedPageBreak/>
        <w:t xml:space="preserve">“date of origin” is a date which falls in the pay period which will pay in the month AFTER he/she returns.  </w:t>
      </w:r>
    </w:p>
    <w:p w14:paraId="54CB3997" w14:textId="77777777" w:rsidR="00272D11" w:rsidRPr="0058358A" w:rsidRDefault="00272D11" w:rsidP="00272D11"/>
    <w:p w14:paraId="54CB3998" w14:textId="77777777" w:rsidR="00272D11" w:rsidRPr="0058358A" w:rsidRDefault="00272D11" w:rsidP="00272D11">
      <w:r w:rsidRPr="0058358A">
        <w:t>Example: PayArea Z2 employee returns from military LWOP on May 16th and therefore is only entitled to a partial stipend for his last month of eligibility. To pay the employee the partial payment, you will process a Supplemental One time payment action and enter the partial amount to be paid in June and enter 6/3 in the “date of origin” which will pay on 6/17th.</w:t>
      </w:r>
    </w:p>
    <w:p w14:paraId="54CB3999" w14:textId="77777777" w:rsidR="00272D11" w:rsidRDefault="00272D11" w:rsidP="00272D11">
      <w:pPr>
        <w:rPr>
          <w:b/>
        </w:rPr>
      </w:pPr>
    </w:p>
    <w:p w14:paraId="54CB399A" w14:textId="77777777" w:rsidR="00272D11" w:rsidRPr="0058358A" w:rsidRDefault="00272D11" w:rsidP="00272D11">
      <w:pPr>
        <w:pStyle w:val="NormalWeb"/>
        <w:rPr>
          <w:rFonts w:ascii="Arial" w:hAnsi="Arial" w:cs="Arial"/>
          <w:color w:val="FF0000"/>
          <w:sz w:val="20"/>
          <w:szCs w:val="20"/>
        </w:rPr>
      </w:pPr>
      <w:r w:rsidRPr="0058358A">
        <w:rPr>
          <w:rFonts w:ascii="Arial" w:hAnsi="Arial" w:cs="Arial"/>
          <w:color w:val="FF0000"/>
          <w:sz w:val="20"/>
          <w:szCs w:val="20"/>
        </w:rPr>
        <w:t>Effective 7/1/05, stipends should be prorated at a weekly amount of $130 for periods of military leave without pay of less than one month, when appropriate.</w:t>
      </w:r>
    </w:p>
    <w:p w14:paraId="54CB399B" w14:textId="77777777" w:rsidR="00272D11" w:rsidRPr="0058358A" w:rsidRDefault="00272D11" w:rsidP="00272D11">
      <w:pPr>
        <w:pStyle w:val="NormalWeb"/>
        <w:rPr>
          <w:rFonts w:ascii="Arial" w:hAnsi="Arial" w:cs="Arial"/>
          <w:sz w:val="20"/>
          <w:szCs w:val="20"/>
        </w:rPr>
      </w:pPr>
      <w:r w:rsidRPr="0058358A">
        <w:rPr>
          <w:rFonts w:ascii="Arial" w:hAnsi="Arial" w:cs="Arial"/>
          <w:sz w:val="20"/>
          <w:szCs w:val="20"/>
        </w:rPr>
        <w:t>For military leave without pay of less than a full month, process a PA40 Supplemental One-time action.  The stipend should be prorated by dividing the total number of days on military leave without pay (not including regularly scheduled days off) by 5 and rounding up to the nearest whole number, and multiply the result by $130.  The employee should be paid the lesser of the result of this calculation or $520.  Employees should not receive more than $520 for any given calendar month.</w:t>
      </w:r>
      <w:r w:rsidRPr="0058358A">
        <w:rPr>
          <w:rFonts w:ascii="Arial" w:hAnsi="Arial" w:cs="Arial"/>
          <w:sz w:val="20"/>
          <w:szCs w:val="20"/>
        </w:rPr>
        <w:br/>
        <w:t> </w:t>
      </w:r>
      <w:r w:rsidRPr="0058358A">
        <w:rPr>
          <w:rFonts w:ascii="Arial" w:hAnsi="Arial" w:cs="Arial"/>
          <w:sz w:val="20"/>
          <w:szCs w:val="20"/>
        </w:rPr>
        <w:br/>
        <w:t>            Example:  The employee is on military leave without pay from </w:t>
      </w:r>
      <w:r w:rsidRPr="0058358A">
        <w:rPr>
          <w:rFonts w:ascii="Arial" w:hAnsi="Arial" w:cs="Arial"/>
          <w:sz w:val="20"/>
          <w:szCs w:val="20"/>
        </w:rPr>
        <w:br/>
        <w:t>            August 1, 2005 and returns to active Commonwealth employment </w:t>
      </w:r>
      <w:r w:rsidRPr="0058358A">
        <w:rPr>
          <w:rFonts w:ascii="Arial" w:hAnsi="Arial" w:cs="Arial"/>
          <w:sz w:val="20"/>
          <w:szCs w:val="20"/>
        </w:rPr>
        <w:br/>
        <w:t xml:space="preserve">            on August 16, 2005. </w:t>
      </w:r>
      <w:r w:rsidRPr="0058358A">
        <w:rPr>
          <w:rFonts w:ascii="Arial" w:hAnsi="Arial" w:cs="Arial"/>
          <w:sz w:val="20"/>
          <w:szCs w:val="20"/>
        </w:rPr>
        <w:br/>
      </w:r>
      <w:r w:rsidRPr="0058358A">
        <w:rPr>
          <w:rFonts w:ascii="Arial" w:hAnsi="Arial" w:cs="Arial"/>
          <w:sz w:val="20"/>
          <w:szCs w:val="20"/>
        </w:rPr>
        <w:br/>
        <w:t>Total days of military leave without pay for August equals 11 divided by 5 equals 2.2 weeks.  This answer is rounded up to 3 and multiplied by $130 to arrive at a stipend of $390 for the month of August 2005.  This stipend should be processed by the first regular processing date in September 2005.</w:t>
      </w:r>
    </w:p>
    <w:p w14:paraId="54CB399C" w14:textId="77777777" w:rsidR="00272D11" w:rsidRPr="0058358A" w:rsidRDefault="00272D11" w:rsidP="00272D11">
      <w:pPr>
        <w:pStyle w:val="NormalWeb"/>
        <w:rPr>
          <w:rFonts w:ascii="Arial" w:hAnsi="Arial" w:cs="Arial"/>
          <w:sz w:val="20"/>
          <w:szCs w:val="20"/>
        </w:rPr>
      </w:pPr>
      <w:r w:rsidRPr="0058358A">
        <w:rPr>
          <w:rFonts w:ascii="Arial" w:hAnsi="Arial" w:cs="Arial"/>
          <w:sz w:val="20"/>
          <w:szCs w:val="20"/>
        </w:rPr>
        <w:t>Furthermore, fragmented days of military leave without pay during a month should be consolidated when calculating the prorated monthly stipend.</w:t>
      </w:r>
    </w:p>
    <w:p w14:paraId="54CB399D" w14:textId="77777777" w:rsidR="00272D11" w:rsidRPr="0058358A" w:rsidRDefault="00272D11" w:rsidP="00272D11">
      <w:pPr>
        <w:pStyle w:val="NormalWeb"/>
        <w:rPr>
          <w:rFonts w:ascii="Arial" w:hAnsi="Arial" w:cs="Arial"/>
          <w:sz w:val="20"/>
          <w:szCs w:val="20"/>
        </w:rPr>
      </w:pPr>
      <w:r w:rsidRPr="0058358A">
        <w:rPr>
          <w:rFonts w:ascii="Arial" w:hAnsi="Arial" w:cs="Arial"/>
          <w:sz w:val="20"/>
          <w:szCs w:val="20"/>
        </w:rPr>
        <w:t>            Example:  The employee is on military leave without pay on </w:t>
      </w:r>
      <w:r w:rsidRPr="0058358A">
        <w:rPr>
          <w:rFonts w:ascii="Arial" w:hAnsi="Arial" w:cs="Arial"/>
          <w:sz w:val="20"/>
          <w:szCs w:val="20"/>
        </w:rPr>
        <w:br/>
        <w:t>            July 11 through 13, returns July 14 through 19, and returns to </w:t>
      </w:r>
      <w:r w:rsidRPr="0058358A">
        <w:rPr>
          <w:rFonts w:ascii="Arial" w:hAnsi="Arial" w:cs="Arial"/>
          <w:sz w:val="20"/>
          <w:szCs w:val="20"/>
        </w:rPr>
        <w:br/>
        <w:t>            military leave without pay from July 20 through 27.  Total days </w:t>
      </w:r>
      <w:r w:rsidRPr="0058358A">
        <w:rPr>
          <w:rFonts w:ascii="Arial" w:hAnsi="Arial" w:cs="Arial"/>
          <w:sz w:val="20"/>
          <w:szCs w:val="20"/>
        </w:rPr>
        <w:br/>
        <w:t>            of military leave without pay for July equals 9 divided by 5 equals </w:t>
      </w:r>
      <w:r w:rsidRPr="0058358A">
        <w:rPr>
          <w:rFonts w:ascii="Arial" w:hAnsi="Arial" w:cs="Arial"/>
          <w:sz w:val="20"/>
          <w:szCs w:val="20"/>
        </w:rPr>
        <w:br/>
        <w:t>            1.8 weeks.  This answer is rounded up to 2 and multiplied by $130 </w:t>
      </w:r>
      <w:r w:rsidRPr="0058358A">
        <w:rPr>
          <w:rFonts w:ascii="Arial" w:hAnsi="Arial" w:cs="Arial"/>
          <w:sz w:val="20"/>
          <w:szCs w:val="20"/>
        </w:rPr>
        <w:br/>
        <w:t>            to arrive at a stipend of $260 for the month of July 2005.  This </w:t>
      </w:r>
      <w:r w:rsidRPr="0058358A">
        <w:rPr>
          <w:rFonts w:ascii="Arial" w:hAnsi="Arial" w:cs="Arial"/>
          <w:sz w:val="20"/>
          <w:szCs w:val="20"/>
        </w:rPr>
        <w:br/>
        <w:t>            stipend should be processed by the first regular processing date </w:t>
      </w:r>
      <w:r w:rsidRPr="0058358A">
        <w:rPr>
          <w:rFonts w:ascii="Arial" w:hAnsi="Arial" w:cs="Arial"/>
          <w:sz w:val="20"/>
          <w:szCs w:val="20"/>
        </w:rPr>
        <w:br/>
        <w:t>            in August 2005.</w:t>
      </w:r>
    </w:p>
    <w:p w14:paraId="54CB399E" w14:textId="77777777" w:rsidR="007D1957" w:rsidRDefault="007D1957" w:rsidP="0032440E">
      <w:pPr>
        <w:rPr>
          <w:rFonts w:cs="Arial"/>
          <w:b/>
          <w:bCs/>
          <w:i/>
          <w:iCs/>
          <w:szCs w:val="22"/>
        </w:rPr>
      </w:pPr>
    </w:p>
    <w:p w14:paraId="54CB399F" w14:textId="77777777" w:rsidR="002C25FD" w:rsidRPr="00423F7E" w:rsidRDefault="002C25FD" w:rsidP="002C25FD">
      <w:pPr>
        <w:pStyle w:val="Heading1"/>
        <w:rPr>
          <w:color w:val="FF0000"/>
          <w:u w:val="single"/>
        </w:rPr>
      </w:pPr>
      <w:bookmarkStart w:id="2" w:name="_Toc293388783"/>
      <w:r>
        <w:rPr>
          <w:u w:val="single"/>
        </w:rPr>
        <w:t>DEP Emergency Response Team Payments</w:t>
      </w:r>
      <w:bookmarkEnd w:id="2"/>
      <w:r>
        <w:rPr>
          <w:u w:val="single"/>
        </w:rPr>
        <w:t xml:space="preserve"> </w:t>
      </w:r>
    </w:p>
    <w:p w14:paraId="54CB39A0" w14:textId="77777777" w:rsidR="002C25FD" w:rsidRDefault="002C25FD" w:rsidP="002C25FD">
      <w:pPr>
        <w:autoSpaceDE w:val="0"/>
        <w:autoSpaceDN w:val="0"/>
        <w:rPr>
          <w:rFonts w:ascii="Times-Roman" w:hAnsi="Times-Roman"/>
          <w:szCs w:val="22"/>
        </w:rPr>
      </w:pPr>
      <w:r>
        <w:rPr>
          <w:rFonts w:ascii="Times-Roman" w:hAnsi="Times-Roman"/>
          <w:szCs w:val="22"/>
        </w:rPr>
        <w:t>Payments by the Department of Environmental Protection for ERT membership will be $1277.50 bi-annually.</w:t>
      </w:r>
    </w:p>
    <w:p w14:paraId="54CB39A1" w14:textId="77777777" w:rsidR="002C25FD" w:rsidRDefault="002C25FD" w:rsidP="002C25FD">
      <w:pPr>
        <w:autoSpaceDE w:val="0"/>
        <w:autoSpaceDN w:val="0"/>
        <w:rPr>
          <w:rFonts w:ascii="Times-Roman" w:hAnsi="Times-Roman"/>
          <w:szCs w:val="22"/>
        </w:rPr>
      </w:pPr>
      <w:r>
        <w:rPr>
          <w:rFonts w:ascii="Times-Roman" w:hAnsi="Times-Roman"/>
          <w:szCs w:val="22"/>
        </w:rPr>
        <w:t>a. Payments will be made bi-annually for the previous six months.</w:t>
      </w:r>
    </w:p>
    <w:p w14:paraId="54CB39A2" w14:textId="77777777" w:rsidR="002C25FD" w:rsidRDefault="002C25FD" w:rsidP="002C25FD">
      <w:pPr>
        <w:autoSpaceDE w:val="0"/>
        <w:autoSpaceDN w:val="0"/>
        <w:rPr>
          <w:rFonts w:ascii="Times-Roman" w:hAnsi="Times-Roman"/>
          <w:szCs w:val="22"/>
        </w:rPr>
      </w:pPr>
      <w:r>
        <w:rPr>
          <w:rFonts w:ascii="Times-Roman" w:hAnsi="Times-Roman"/>
          <w:szCs w:val="22"/>
        </w:rPr>
        <w:t>b. An employee must be an ERT member for six months to be entitled to the first payment.</w:t>
      </w:r>
    </w:p>
    <w:p w14:paraId="54CB39A3" w14:textId="77777777" w:rsidR="002C25FD" w:rsidRDefault="002C25FD" w:rsidP="002C25FD">
      <w:pPr>
        <w:autoSpaceDE w:val="0"/>
        <w:autoSpaceDN w:val="0"/>
        <w:rPr>
          <w:rFonts w:ascii="Verdana" w:hAnsi="Verdana"/>
          <w:color w:val="000099"/>
          <w:szCs w:val="22"/>
        </w:rPr>
      </w:pPr>
      <w:r>
        <w:rPr>
          <w:rFonts w:ascii="Times-Roman" w:hAnsi="Times-Roman"/>
          <w:szCs w:val="22"/>
        </w:rPr>
        <w:t>c. After the first six months, if an employee leaves the ERT for any reason, he/she will receive a prorata payment.</w:t>
      </w:r>
    </w:p>
    <w:p w14:paraId="54CB39A4" w14:textId="77777777" w:rsidR="002C25FD" w:rsidRDefault="002C25FD" w:rsidP="002C25FD">
      <w:pPr>
        <w:rPr>
          <w:rFonts w:ascii="Verdana" w:hAnsi="Verdana"/>
          <w:color w:val="000099"/>
          <w:sz w:val="20"/>
          <w:szCs w:val="20"/>
        </w:rPr>
      </w:pPr>
    </w:p>
    <w:p w14:paraId="54CB39A5" w14:textId="77777777" w:rsidR="002C25FD" w:rsidRDefault="002C25FD" w:rsidP="002C25FD">
      <w:pPr>
        <w:rPr>
          <w:rFonts w:ascii="Verdana" w:hAnsi="Verdana"/>
          <w:color w:val="000099"/>
          <w:sz w:val="20"/>
          <w:szCs w:val="20"/>
        </w:rPr>
      </w:pPr>
      <w:r>
        <w:rPr>
          <w:rFonts w:ascii="Verdana" w:hAnsi="Verdana"/>
          <w:color w:val="000099"/>
          <w:sz w:val="20"/>
          <w:szCs w:val="20"/>
        </w:rPr>
        <w:t xml:space="preserve">These payments are Supplemental One Time Payments using Wage Type 5708 – Emergency Response Team.  </w:t>
      </w:r>
    </w:p>
    <w:p w14:paraId="54CB39A6" w14:textId="77777777" w:rsidR="002C25FD" w:rsidRDefault="002C25FD" w:rsidP="002C25FD">
      <w:pPr>
        <w:rPr>
          <w:rFonts w:ascii="Verdana" w:hAnsi="Verdana"/>
          <w:color w:val="000099"/>
          <w:sz w:val="20"/>
          <w:szCs w:val="20"/>
        </w:rPr>
      </w:pPr>
      <w:r>
        <w:rPr>
          <w:rFonts w:ascii="Verdana" w:hAnsi="Verdana"/>
          <w:color w:val="000099"/>
          <w:sz w:val="20"/>
          <w:szCs w:val="20"/>
        </w:rPr>
        <w:t>If the payment needs to be pro-rated, the calculation is:</w:t>
      </w:r>
    </w:p>
    <w:p w14:paraId="54CB39A7" w14:textId="77777777" w:rsidR="002C25FD" w:rsidRDefault="002C25FD" w:rsidP="002C25FD">
      <w:pPr>
        <w:ind w:left="720" w:firstLine="720"/>
        <w:rPr>
          <w:rFonts w:ascii="Times New Roman" w:hAnsi="Times New Roman"/>
          <w:sz w:val="24"/>
        </w:rPr>
      </w:pPr>
      <w:r>
        <w:rPr>
          <w:rFonts w:ascii="Verdana" w:hAnsi="Verdana"/>
          <w:sz w:val="20"/>
          <w:szCs w:val="20"/>
        </w:rPr>
        <w:t>(Total Calendar Days on Team) x ($1,277.50/182 days) = Prorated Amount</w:t>
      </w:r>
    </w:p>
    <w:p w14:paraId="54CB39A8" w14:textId="77777777" w:rsidR="007D1957" w:rsidRDefault="007D1957" w:rsidP="0032440E">
      <w:pPr>
        <w:rPr>
          <w:rFonts w:cs="Arial"/>
          <w:b/>
          <w:bCs/>
          <w:i/>
          <w:iCs/>
          <w:szCs w:val="22"/>
        </w:rPr>
      </w:pPr>
    </w:p>
    <w:p w14:paraId="54CB39A9" w14:textId="77777777" w:rsidR="0058358A" w:rsidRDefault="0058358A">
      <w:pPr>
        <w:rPr>
          <w:b/>
          <w:bCs/>
        </w:rPr>
      </w:pPr>
      <w:bookmarkStart w:id="3" w:name="_Toc292178514"/>
      <w:r>
        <w:br w:type="page"/>
      </w:r>
    </w:p>
    <w:p w14:paraId="54CB39AA" w14:textId="77777777" w:rsidR="00626017" w:rsidRDefault="00626017" w:rsidP="00704BD4">
      <w:pPr>
        <w:pStyle w:val="Heading1"/>
      </w:pPr>
      <w:bookmarkStart w:id="4" w:name="_Toc293388784"/>
      <w:r>
        <w:lastRenderedPageBreak/>
        <w:t>PA40:</w:t>
      </w:r>
      <w:bookmarkEnd w:id="3"/>
      <w:bookmarkEnd w:id="4"/>
    </w:p>
    <w:p w14:paraId="54CB39AB" w14:textId="77777777" w:rsidR="0032440E" w:rsidRPr="00051FC4" w:rsidRDefault="0032440E" w:rsidP="0032440E">
      <w:pPr>
        <w:rPr>
          <w:rFonts w:cs="Arial"/>
          <w:szCs w:val="22"/>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547"/>
        <w:gridCol w:w="4293"/>
        <w:gridCol w:w="2648"/>
      </w:tblGrid>
      <w:tr w:rsidR="0032440E" w:rsidRPr="00051FC4" w14:paraId="54CB39B1" w14:textId="77777777">
        <w:trPr>
          <w:tblHeader/>
        </w:trPr>
        <w:tc>
          <w:tcPr>
            <w:tcW w:w="1008" w:type="dxa"/>
            <w:shd w:val="clear" w:color="auto" w:fill="auto"/>
            <w:vAlign w:val="center"/>
          </w:tcPr>
          <w:p w14:paraId="54CB39AC" w14:textId="77777777" w:rsidR="0032440E" w:rsidRPr="005845A8" w:rsidRDefault="0032440E" w:rsidP="00BD6932">
            <w:pPr>
              <w:jc w:val="center"/>
              <w:rPr>
                <w:rFonts w:cs="Arial"/>
                <w:szCs w:val="22"/>
              </w:rPr>
            </w:pPr>
            <w:r w:rsidRPr="005845A8">
              <w:rPr>
                <w:rFonts w:cs="Arial"/>
                <w:szCs w:val="22"/>
              </w:rPr>
              <w:t>Action /</w:t>
            </w:r>
          </w:p>
          <w:p w14:paraId="54CB39AD" w14:textId="77777777" w:rsidR="0032440E" w:rsidRPr="005845A8" w:rsidRDefault="0032440E" w:rsidP="00BD6932">
            <w:pPr>
              <w:jc w:val="center"/>
              <w:rPr>
                <w:rFonts w:cs="Arial"/>
                <w:szCs w:val="22"/>
              </w:rPr>
            </w:pPr>
            <w:r w:rsidRPr="005845A8">
              <w:rPr>
                <w:rFonts w:cs="Arial"/>
                <w:szCs w:val="22"/>
              </w:rPr>
              <w:t>Infotype</w:t>
            </w:r>
          </w:p>
        </w:tc>
        <w:tc>
          <w:tcPr>
            <w:tcW w:w="2547" w:type="dxa"/>
            <w:shd w:val="clear" w:color="auto" w:fill="auto"/>
            <w:vAlign w:val="center"/>
          </w:tcPr>
          <w:p w14:paraId="54CB39AE" w14:textId="77777777" w:rsidR="0032440E" w:rsidRPr="005845A8" w:rsidRDefault="0032440E" w:rsidP="00BD6932">
            <w:pPr>
              <w:jc w:val="center"/>
              <w:rPr>
                <w:rFonts w:cs="Arial"/>
                <w:szCs w:val="22"/>
              </w:rPr>
            </w:pPr>
            <w:r>
              <w:rPr>
                <w:rFonts w:cs="Arial"/>
                <w:szCs w:val="22"/>
              </w:rPr>
              <w:t>Required Fields</w:t>
            </w:r>
          </w:p>
        </w:tc>
        <w:tc>
          <w:tcPr>
            <w:tcW w:w="4293" w:type="dxa"/>
            <w:shd w:val="clear" w:color="auto" w:fill="auto"/>
            <w:vAlign w:val="center"/>
          </w:tcPr>
          <w:p w14:paraId="54CB39AF" w14:textId="77777777" w:rsidR="0032440E" w:rsidRPr="005845A8" w:rsidRDefault="0032440E" w:rsidP="00BD6932">
            <w:pPr>
              <w:jc w:val="center"/>
              <w:rPr>
                <w:rFonts w:cs="Arial"/>
                <w:szCs w:val="22"/>
              </w:rPr>
            </w:pPr>
            <w:r w:rsidRPr="005845A8">
              <w:rPr>
                <w:rFonts w:cs="Arial"/>
                <w:szCs w:val="22"/>
              </w:rPr>
              <w:t>Information</w:t>
            </w:r>
          </w:p>
        </w:tc>
        <w:tc>
          <w:tcPr>
            <w:tcW w:w="2648" w:type="dxa"/>
            <w:shd w:val="clear" w:color="auto" w:fill="auto"/>
            <w:vAlign w:val="center"/>
          </w:tcPr>
          <w:p w14:paraId="54CB39B0" w14:textId="77777777" w:rsidR="0032440E" w:rsidRPr="005845A8" w:rsidRDefault="0032440E" w:rsidP="00BD6932">
            <w:pPr>
              <w:jc w:val="center"/>
              <w:rPr>
                <w:rFonts w:cs="Arial"/>
                <w:szCs w:val="22"/>
              </w:rPr>
            </w:pPr>
            <w:r w:rsidRPr="005845A8">
              <w:rPr>
                <w:rFonts w:cs="Arial"/>
                <w:szCs w:val="22"/>
              </w:rPr>
              <w:t>Action</w:t>
            </w:r>
          </w:p>
        </w:tc>
      </w:tr>
      <w:tr w:rsidR="0032440E" w:rsidRPr="00051FC4" w14:paraId="54CB39B6" w14:textId="77777777" w:rsidTr="007C29D5">
        <w:trPr>
          <w:trHeight w:val="395"/>
        </w:trPr>
        <w:tc>
          <w:tcPr>
            <w:tcW w:w="1008" w:type="dxa"/>
            <w:vMerge w:val="restart"/>
            <w:shd w:val="clear" w:color="auto" w:fill="auto"/>
            <w:vAlign w:val="center"/>
          </w:tcPr>
          <w:p w14:paraId="54CB39B2" w14:textId="77777777" w:rsidR="0032440E" w:rsidRPr="00051FC4" w:rsidRDefault="0032440E" w:rsidP="007C29D5">
            <w:pPr>
              <w:jc w:val="center"/>
              <w:rPr>
                <w:rFonts w:cs="Arial"/>
                <w:szCs w:val="22"/>
              </w:rPr>
            </w:pPr>
            <w:r w:rsidRPr="00051FC4">
              <w:rPr>
                <w:rFonts w:cs="Arial"/>
                <w:szCs w:val="22"/>
              </w:rPr>
              <w:t>PA40</w:t>
            </w:r>
          </w:p>
        </w:tc>
        <w:tc>
          <w:tcPr>
            <w:tcW w:w="2547" w:type="dxa"/>
            <w:shd w:val="clear" w:color="auto" w:fill="auto"/>
            <w:vAlign w:val="bottom"/>
          </w:tcPr>
          <w:p w14:paraId="54CB39B3" w14:textId="77777777" w:rsidR="0032440E" w:rsidRPr="00051FC4" w:rsidRDefault="0032440E" w:rsidP="00BD6932">
            <w:pPr>
              <w:rPr>
                <w:rFonts w:cs="Arial"/>
                <w:szCs w:val="22"/>
              </w:rPr>
            </w:pPr>
            <w:r w:rsidRPr="00051FC4">
              <w:rPr>
                <w:rFonts w:cs="Arial"/>
                <w:szCs w:val="22"/>
              </w:rPr>
              <w:t>Personnel #</w:t>
            </w:r>
          </w:p>
        </w:tc>
        <w:tc>
          <w:tcPr>
            <w:tcW w:w="4293" w:type="dxa"/>
            <w:shd w:val="clear" w:color="auto" w:fill="auto"/>
            <w:vAlign w:val="bottom"/>
          </w:tcPr>
          <w:p w14:paraId="54CB39B4" w14:textId="77777777" w:rsidR="0032440E" w:rsidRPr="00051FC4" w:rsidRDefault="00C97687" w:rsidP="00BD6932">
            <w:pPr>
              <w:rPr>
                <w:rFonts w:cs="Arial"/>
                <w:szCs w:val="22"/>
              </w:rPr>
            </w:pPr>
            <w:r>
              <w:rPr>
                <w:rFonts w:cs="Arial"/>
                <w:szCs w:val="22"/>
              </w:rPr>
              <w:t>Personnel #</w:t>
            </w:r>
          </w:p>
        </w:tc>
        <w:tc>
          <w:tcPr>
            <w:tcW w:w="2648" w:type="dxa"/>
            <w:shd w:val="clear" w:color="auto" w:fill="auto"/>
            <w:vAlign w:val="bottom"/>
          </w:tcPr>
          <w:p w14:paraId="54CB39B5" w14:textId="77777777" w:rsidR="0032440E" w:rsidRPr="00051FC4" w:rsidRDefault="00C97687" w:rsidP="00BD6932">
            <w:pPr>
              <w:rPr>
                <w:rFonts w:cs="Arial"/>
                <w:color w:val="000080"/>
                <w:szCs w:val="22"/>
              </w:rPr>
            </w:pPr>
            <w:r>
              <w:rPr>
                <w:rFonts w:cs="Arial"/>
                <w:color w:val="000080"/>
                <w:szCs w:val="22"/>
              </w:rPr>
              <w:t>Enter Personnel # from PAR</w:t>
            </w:r>
          </w:p>
        </w:tc>
      </w:tr>
      <w:tr w:rsidR="0032440E" w:rsidRPr="00051FC4" w14:paraId="54CB39BB" w14:textId="77777777">
        <w:trPr>
          <w:trHeight w:val="530"/>
        </w:trPr>
        <w:tc>
          <w:tcPr>
            <w:tcW w:w="1008" w:type="dxa"/>
            <w:vMerge/>
            <w:shd w:val="clear" w:color="auto" w:fill="auto"/>
            <w:vAlign w:val="bottom"/>
          </w:tcPr>
          <w:p w14:paraId="54CB39B7" w14:textId="77777777" w:rsidR="0032440E" w:rsidRPr="00051FC4" w:rsidRDefault="0032440E" w:rsidP="00BD6932">
            <w:pPr>
              <w:jc w:val="center"/>
              <w:rPr>
                <w:rFonts w:cs="Arial"/>
                <w:szCs w:val="22"/>
              </w:rPr>
            </w:pPr>
          </w:p>
        </w:tc>
        <w:tc>
          <w:tcPr>
            <w:tcW w:w="2547" w:type="dxa"/>
            <w:shd w:val="clear" w:color="auto" w:fill="auto"/>
            <w:vAlign w:val="bottom"/>
          </w:tcPr>
          <w:p w14:paraId="54CB39B8" w14:textId="77777777" w:rsidR="0032440E" w:rsidRPr="00051FC4" w:rsidRDefault="0032440E" w:rsidP="00BD6932">
            <w:pPr>
              <w:rPr>
                <w:rFonts w:cs="Arial"/>
                <w:szCs w:val="22"/>
              </w:rPr>
            </w:pPr>
            <w:r w:rsidRPr="00051FC4">
              <w:rPr>
                <w:rFonts w:cs="Arial"/>
                <w:szCs w:val="22"/>
              </w:rPr>
              <w:t>From</w:t>
            </w:r>
          </w:p>
        </w:tc>
        <w:tc>
          <w:tcPr>
            <w:tcW w:w="4293" w:type="dxa"/>
            <w:shd w:val="clear" w:color="auto" w:fill="auto"/>
            <w:vAlign w:val="bottom"/>
          </w:tcPr>
          <w:p w14:paraId="54CB39B9" w14:textId="77777777" w:rsidR="0032440E" w:rsidRPr="00051FC4" w:rsidRDefault="0032440E" w:rsidP="00BD6932">
            <w:pPr>
              <w:rPr>
                <w:rFonts w:cs="Arial"/>
                <w:szCs w:val="22"/>
              </w:rPr>
            </w:pPr>
            <w:r w:rsidRPr="00051FC4">
              <w:rPr>
                <w:rFonts w:cs="Arial"/>
                <w:szCs w:val="22"/>
              </w:rPr>
              <w:t>Effective Date</w:t>
            </w:r>
          </w:p>
        </w:tc>
        <w:tc>
          <w:tcPr>
            <w:tcW w:w="2648" w:type="dxa"/>
            <w:shd w:val="clear" w:color="auto" w:fill="auto"/>
            <w:vAlign w:val="bottom"/>
          </w:tcPr>
          <w:p w14:paraId="54CB39BA" w14:textId="77777777" w:rsidR="0032440E" w:rsidRPr="00051FC4" w:rsidRDefault="00C97687" w:rsidP="00BD6932">
            <w:pPr>
              <w:rPr>
                <w:rFonts w:cs="Arial"/>
                <w:color w:val="000080"/>
                <w:szCs w:val="22"/>
              </w:rPr>
            </w:pPr>
            <w:r>
              <w:rPr>
                <w:rFonts w:cs="Arial"/>
                <w:color w:val="000080"/>
                <w:szCs w:val="22"/>
              </w:rPr>
              <w:t>Enter Effective Date from PAR</w:t>
            </w:r>
          </w:p>
        </w:tc>
      </w:tr>
      <w:tr w:rsidR="0032440E" w:rsidRPr="00051FC4" w14:paraId="54CB39C0" w14:textId="77777777">
        <w:trPr>
          <w:trHeight w:val="395"/>
        </w:trPr>
        <w:tc>
          <w:tcPr>
            <w:tcW w:w="1008" w:type="dxa"/>
            <w:vMerge/>
            <w:shd w:val="clear" w:color="auto" w:fill="auto"/>
            <w:vAlign w:val="bottom"/>
          </w:tcPr>
          <w:p w14:paraId="54CB39BC" w14:textId="77777777" w:rsidR="0032440E" w:rsidRPr="00051FC4" w:rsidRDefault="0032440E" w:rsidP="00BD6932">
            <w:pPr>
              <w:jc w:val="center"/>
              <w:rPr>
                <w:rFonts w:cs="Arial"/>
                <w:szCs w:val="22"/>
              </w:rPr>
            </w:pPr>
          </w:p>
        </w:tc>
        <w:tc>
          <w:tcPr>
            <w:tcW w:w="2547" w:type="dxa"/>
            <w:shd w:val="clear" w:color="auto" w:fill="auto"/>
            <w:vAlign w:val="bottom"/>
          </w:tcPr>
          <w:p w14:paraId="54CB39BD" w14:textId="77777777" w:rsidR="0032440E" w:rsidRPr="00051FC4" w:rsidRDefault="0032440E" w:rsidP="00BD6932">
            <w:pPr>
              <w:rPr>
                <w:rFonts w:cs="Arial"/>
                <w:szCs w:val="22"/>
              </w:rPr>
            </w:pPr>
            <w:r w:rsidRPr="00051FC4">
              <w:rPr>
                <w:rFonts w:cs="Arial"/>
                <w:szCs w:val="22"/>
              </w:rPr>
              <w:t>Action</w:t>
            </w:r>
          </w:p>
        </w:tc>
        <w:tc>
          <w:tcPr>
            <w:tcW w:w="4293" w:type="dxa"/>
            <w:shd w:val="clear" w:color="auto" w:fill="auto"/>
            <w:vAlign w:val="bottom"/>
          </w:tcPr>
          <w:p w14:paraId="54CB39BE" w14:textId="77777777" w:rsidR="0032440E" w:rsidRPr="00051FC4" w:rsidRDefault="0032440E" w:rsidP="00C97687">
            <w:pPr>
              <w:rPr>
                <w:rFonts w:cs="Arial"/>
                <w:szCs w:val="22"/>
              </w:rPr>
            </w:pPr>
            <w:r w:rsidRPr="00051FC4">
              <w:rPr>
                <w:rFonts w:cs="Arial"/>
                <w:szCs w:val="22"/>
              </w:rPr>
              <w:t>Highlight “</w:t>
            </w:r>
            <w:r w:rsidR="00C97687">
              <w:rPr>
                <w:rFonts w:cs="Arial"/>
                <w:b/>
                <w:szCs w:val="22"/>
              </w:rPr>
              <w:t>Supplemental One Time Payment</w:t>
            </w:r>
            <w:r w:rsidRPr="00051FC4">
              <w:rPr>
                <w:rFonts w:cs="Arial"/>
                <w:szCs w:val="22"/>
              </w:rPr>
              <w:t>” line</w:t>
            </w:r>
          </w:p>
        </w:tc>
        <w:tc>
          <w:tcPr>
            <w:tcW w:w="2648" w:type="dxa"/>
            <w:shd w:val="clear" w:color="auto" w:fill="auto"/>
            <w:vAlign w:val="bottom"/>
          </w:tcPr>
          <w:p w14:paraId="54CB39BF" w14:textId="77777777" w:rsidR="0032440E" w:rsidRPr="00051FC4" w:rsidRDefault="000A680F" w:rsidP="00BD6932">
            <w:pPr>
              <w:rPr>
                <w:rFonts w:cs="Arial"/>
                <w:color w:val="000080"/>
                <w:szCs w:val="22"/>
              </w:rPr>
            </w:pPr>
            <w:r>
              <w:rPr>
                <w:rFonts w:cs="Arial"/>
                <w:noProof/>
                <w:color w:val="000080"/>
                <w:szCs w:val="22"/>
              </w:rPr>
              <w:drawing>
                <wp:inline distT="0" distB="0" distL="0" distR="0" wp14:anchorId="54CB39F7" wp14:editId="54CB39F8">
                  <wp:extent cx="295275" cy="295275"/>
                  <wp:effectExtent l="19050" t="0" r="9525" b="0"/>
                  <wp:docPr id="3"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r>
    </w:tbl>
    <w:p w14:paraId="54CB39C1" w14:textId="77777777" w:rsidR="00626017" w:rsidRDefault="00626017" w:rsidP="00626017">
      <w:pPr>
        <w:pStyle w:val="Title"/>
        <w:jc w:val="left"/>
        <w:rPr>
          <w:rFonts w:cs="Arial"/>
          <w:sz w:val="22"/>
          <w:szCs w:val="22"/>
        </w:rPr>
      </w:pPr>
    </w:p>
    <w:p w14:paraId="54CB39C2" w14:textId="77777777" w:rsidR="00513A1D" w:rsidRDefault="00513A1D" w:rsidP="00704BD4">
      <w:pPr>
        <w:pStyle w:val="Heading1"/>
      </w:pPr>
      <w:bookmarkStart w:id="5" w:name="_Toc292178515"/>
    </w:p>
    <w:p w14:paraId="54CB39C3" w14:textId="77777777" w:rsidR="00626017" w:rsidRDefault="00626017" w:rsidP="00704BD4">
      <w:pPr>
        <w:pStyle w:val="Heading1"/>
      </w:pPr>
      <w:bookmarkStart w:id="6" w:name="_Toc293388785"/>
      <w:r>
        <w:t>Infot</w:t>
      </w:r>
      <w:r w:rsidR="00C97687">
        <w:t>yp</w:t>
      </w:r>
      <w:r>
        <w:t>e 0000:</w:t>
      </w:r>
      <w:bookmarkEnd w:id="5"/>
      <w:bookmarkEnd w:id="6"/>
    </w:p>
    <w:p w14:paraId="54CB39C4" w14:textId="77777777" w:rsidR="0032440E" w:rsidRDefault="0032440E"/>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2549"/>
        <w:gridCol w:w="4291"/>
        <w:gridCol w:w="2647"/>
      </w:tblGrid>
      <w:tr w:rsidR="00513A1D" w:rsidRPr="00051FC4" w14:paraId="54CB39C9" w14:textId="77777777">
        <w:trPr>
          <w:cantSplit/>
          <w:trHeight w:val="458"/>
        </w:trPr>
        <w:tc>
          <w:tcPr>
            <w:tcW w:w="1009" w:type="dxa"/>
            <w:vMerge w:val="restart"/>
            <w:shd w:val="clear" w:color="auto" w:fill="auto"/>
            <w:vAlign w:val="center"/>
          </w:tcPr>
          <w:p w14:paraId="54CB39C5" w14:textId="77777777" w:rsidR="00513A1D" w:rsidRPr="00051FC4" w:rsidRDefault="00513A1D" w:rsidP="00BD6932">
            <w:pPr>
              <w:jc w:val="center"/>
              <w:rPr>
                <w:rFonts w:cs="Arial"/>
                <w:szCs w:val="22"/>
              </w:rPr>
            </w:pPr>
            <w:r w:rsidRPr="00051FC4">
              <w:rPr>
                <w:rFonts w:cs="Arial"/>
                <w:szCs w:val="22"/>
              </w:rPr>
              <w:t>0000</w:t>
            </w:r>
          </w:p>
        </w:tc>
        <w:tc>
          <w:tcPr>
            <w:tcW w:w="2549" w:type="dxa"/>
            <w:shd w:val="clear" w:color="auto" w:fill="auto"/>
            <w:vAlign w:val="bottom"/>
          </w:tcPr>
          <w:p w14:paraId="54CB39C6" w14:textId="77777777" w:rsidR="00513A1D" w:rsidRPr="00051FC4" w:rsidRDefault="00513A1D" w:rsidP="00513A1D">
            <w:pPr>
              <w:rPr>
                <w:rFonts w:cs="Arial"/>
                <w:szCs w:val="22"/>
              </w:rPr>
            </w:pPr>
            <w:r>
              <w:rPr>
                <w:rFonts w:cs="Arial"/>
                <w:szCs w:val="22"/>
              </w:rPr>
              <w:t>Action Type</w:t>
            </w:r>
          </w:p>
        </w:tc>
        <w:tc>
          <w:tcPr>
            <w:tcW w:w="4291" w:type="dxa"/>
            <w:shd w:val="clear" w:color="auto" w:fill="auto"/>
            <w:vAlign w:val="bottom"/>
          </w:tcPr>
          <w:p w14:paraId="54CB39C7" w14:textId="77777777" w:rsidR="00513A1D" w:rsidRPr="00051FC4" w:rsidRDefault="00513A1D" w:rsidP="00513A1D">
            <w:pPr>
              <w:rPr>
                <w:rFonts w:cs="Arial"/>
                <w:szCs w:val="22"/>
              </w:rPr>
            </w:pPr>
            <w:r>
              <w:rPr>
                <w:rFonts w:cs="Arial"/>
                <w:szCs w:val="22"/>
              </w:rPr>
              <w:t>System will display action type selected on previous screen</w:t>
            </w:r>
          </w:p>
        </w:tc>
        <w:tc>
          <w:tcPr>
            <w:tcW w:w="2647" w:type="dxa"/>
            <w:shd w:val="clear" w:color="auto" w:fill="auto"/>
            <w:vAlign w:val="bottom"/>
          </w:tcPr>
          <w:p w14:paraId="54CB39C8" w14:textId="77777777" w:rsidR="00513A1D" w:rsidRPr="00051FC4" w:rsidRDefault="00513A1D" w:rsidP="00BD6932">
            <w:pPr>
              <w:rPr>
                <w:rFonts w:cs="Arial"/>
                <w:color w:val="000080"/>
                <w:szCs w:val="22"/>
              </w:rPr>
            </w:pPr>
          </w:p>
        </w:tc>
      </w:tr>
      <w:tr w:rsidR="00513A1D" w:rsidRPr="00051FC4" w14:paraId="54CB39CE" w14:textId="77777777">
        <w:trPr>
          <w:cantSplit/>
          <w:trHeight w:val="440"/>
        </w:trPr>
        <w:tc>
          <w:tcPr>
            <w:tcW w:w="1009" w:type="dxa"/>
            <w:vMerge/>
            <w:shd w:val="clear" w:color="auto" w:fill="auto"/>
            <w:vAlign w:val="bottom"/>
          </w:tcPr>
          <w:p w14:paraId="54CB39CA" w14:textId="77777777" w:rsidR="00513A1D" w:rsidRPr="00051FC4" w:rsidRDefault="00513A1D" w:rsidP="00BD6932">
            <w:pPr>
              <w:jc w:val="center"/>
              <w:rPr>
                <w:rFonts w:cs="Arial"/>
                <w:szCs w:val="22"/>
              </w:rPr>
            </w:pPr>
          </w:p>
        </w:tc>
        <w:tc>
          <w:tcPr>
            <w:tcW w:w="2549" w:type="dxa"/>
            <w:shd w:val="clear" w:color="auto" w:fill="auto"/>
            <w:vAlign w:val="bottom"/>
          </w:tcPr>
          <w:p w14:paraId="54CB39CB" w14:textId="77777777" w:rsidR="00513A1D" w:rsidRPr="00051FC4" w:rsidRDefault="00513A1D" w:rsidP="00513A1D">
            <w:pPr>
              <w:rPr>
                <w:rFonts w:cs="Arial"/>
                <w:szCs w:val="22"/>
              </w:rPr>
            </w:pPr>
            <w:r w:rsidRPr="00051FC4">
              <w:rPr>
                <w:rFonts w:cs="Arial"/>
                <w:szCs w:val="22"/>
              </w:rPr>
              <w:t>Reason for Action</w:t>
            </w:r>
          </w:p>
        </w:tc>
        <w:tc>
          <w:tcPr>
            <w:tcW w:w="4291" w:type="dxa"/>
            <w:shd w:val="clear" w:color="auto" w:fill="auto"/>
            <w:vAlign w:val="bottom"/>
          </w:tcPr>
          <w:p w14:paraId="54CB39CC" w14:textId="77777777" w:rsidR="00513A1D" w:rsidRPr="00051FC4" w:rsidRDefault="00513A1D" w:rsidP="00513A1D">
            <w:pPr>
              <w:rPr>
                <w:rFonts w:cs="Arial"/>
                <w:szCs w:val="22"/>
              </w:rPr>
            </w:pPr>
            <w:r w:rsidRPr="00051FC4">
              <w:rPr>
                <w:rFonts w:cs="Arial"/>
                <w:szCs w:val="22"/>
              </w:rPr>
              <w:t xml:space="preserve">Using dropdown box Select code from </w:t>
            </w:r>
            <w:smartTag w:uri="urn:schemas-microsoft-com:office:smarttags" w:element="stockticker">
              <w:r w:rsidRPr="00051FC4">
                <w:rPr>
                  <w:rFonts w:cs="Arial"/>
                  <w:szCs w:val="22"/>
                </w:rPr>
                <w:t>PAR</w:t>
              </w:r>
            </w:smartTag>
            <w:r w:rsidRPr="00051FC4">
              <w:rPr>
                <w:rFonts w:cs="Arial"/>
                <w:szCs w:val="22"/>
              </w:rPr>
              <w:t xml:space="preserve">  (ex: </w:t>
            </w:r>
            <w:r>
              <w:rPr>
                <w:rFonts w:cs="Arial"/>
                <w:szCs w:val="22"/>
              </w:rPr>
              <w:t>15</w:t>
            </w:r>
            <w:r w:rsidRPr="00051FC4">
              <w:rPr>
                <w:rFonts w:cs="Arial"/>
                <w:szCs w:val="22"/>
              </w:rPr>
              <w:t xml:space="preserve"> – </w:t>
            </w:r>
            <w:r>
              <w:rPr>
                <w:rFonts w:cs="Arial"/>
                <w:szCs w:val="22"/>
              </w:rPr>
              <w:t>Temp Assign Pay Corr</w:t>
            </w:r>
            <w:r w:rsidRPr="00051FC4">
              <w:rPr>
                <w:rFonts w:cs="Arial"/>
                <w:szCs w:val="22"/>
              </w:rPr>
              <w:t xml:space="preserve">) </w:t>
            </w:r>
          </w:p>
        </w:tc>
        <w:tc>
          <w:tcPr>
            <w:tcW w:w="2647" w:type="dxa"/>
            <w:shd w:val="clear" w:color="auto" w:fill="auto"/>
            <w:vAlign w:val="bottom"/>
          </w:tcPr>
          <w:p w14:paraId="54CB39CD" w14:textId="77777777" w:rsidR="00513A1D" w:rsidRPr="00051FC4" w:rsidRDefault="00513A1D" w:rsidP="00513A1D">
            <w:pPr>
              <w:rPr>
                <w:rFonts w:cs="Arial"/>
                <w:color w:val="000080"/>
                <w:szCs w:val="22"/>
              </w:rPr>
            </w:pPr>
            <w:r w:rsidRPr="00051FC4">
              <w:rPr>
                <w:rFonts w:cs="Arial"/>
                <w:color w:val="000080"/>
                <w:szCs w:val="22"/>
              </w:rPr>
              <w:object w:dxaOrig="525" w:dyaOrig="450" w14:anchorId="54CB3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75pt" o:ole="">
                  <v:imagedata r:id="rId13" o:title="" cropbottom="10170f" cropleft="10236f" blacklevel="3932f"/>
                </v:shape>
                <o:OLEObject Type="Embed" ProgID="MSPhotoEd.3" ShapeID="_x0000_i1025" DrawAspect="Content" ObjectID="_1528198917" r:id="rId14"/>
              </w:object>
            </w:r>
            <w:r>
              <w:rPr>
                <w:rFonts w:cs="Arial"/>
                <w:color w:val="000080"/>
                <w:szCs w:val="22"/>
              </w:rPr>
              <w:t xml:space="preserve">   </w:t>
            </w:r>
            <w:r w:rsidRPr="00513A1D">
              <w:rPr>
                <w:rFonts w:cs="Arial"/>
                <w:noProof/>
                <w:color w:val="000080"/>
                <w:szCs w:val="22"/>
              </w:rPr>
              <w:drawing>
                <wp:inline distT="0" distB="0" distL="0" distR="0" wp14:anchorId="54CB39FA" wp14:editId="54CB39FB">
                  <wp:extent cx="238125" cy="247650"/>
                  <wp:effectExtent l="19050" t="0" r="9525" b="0"/>
                  <wp:docPr id="9"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54CB39CF" w14:textId="77777777" w:rsidR="001C0572" w:rsidRDefault="001C0572"/>
    <w:p w14:paraId="54CB39D0" w14:textId="77777777" w:rsidR="00131385" w:rsidRDefault="00131385" w:rsidP="00131385">
      <w:pPr>
        <w:pStyle w:val="Heading1"/>
      </w:pPr>
      <w:bookmarkStart w:id="7" w:name="_Toc292178518"/>
      <w:bookmarkStart w:id="8" w:name="_Toc293388786"/>
      <w:r>
        <w:t>Infotype 0001:</w:t>
      </w:r>
      <w:bookmarkEnd w:id="7"/>
      <w:bookmarkEnd w:id="8"/>
    </w:p>
    <w:p w14:paraId="54CB39D1" w14:textId="77777777" w:rsidR="00513A1D" w:rsidRPr="00513A1D" w:rsidRDefault="00513A1D" w:rsidP="00513A1D">
      <w:r>
        <w:tab/>
      </w:r>
    </w:p>
    <w:p w14:paraId="54CB39D2" w14:textId="77777777" w:rsidR="00513A1D" w:rsidRPr="00E33C71" w:rsidRDefault="00513A1D" w:rsidP="00131385">
      <w:pPr>
        <w:numPr>
          <w:ilvl w:val="0"/>
          <w:numId w:val="2"/>
        </w:numPr>
        <w:rPr>
          <w:b/>
        </w:rPr>
      </w:pPr>
      <w:r>
        <w:rPr>
          <w:rFonts w:cs="Arial"/>
        </w:rPr>
        <w:t>Verify that the information presented on the screen is accurate and save the data</w:t>
      </w:r>
    </w:p>
    <w:p w14:paraId="54CB39D3" w14:textId="77777777" w:rsidR="00E33C71" w:rsidRDefault="00E33C71" w:rsidP="00E33C71">
      <w:pPr>
        <w:numPr>
          <w:ilvl w:val="0"/>
          <w:numId w:val="2"/>
        </w:numPr>
        <w:rPr>
          <w:b/>
        </w:rPr>
      </w:pPr>
      <w:r w:rsidRPr="00E0457E">
        <w:rPr>
          <w:b/>
        </w:rPr>
        <w:t>Maintain text on infotype 1</w:t>
      </w:r>
    </w:p>
    <w:p w14:paraId="54CB39D4" w14:textId="77777777" w:rsidR="00E33C71" w:rsidRPr="00E0457E" w:rsidRDefault="00E33C71" w:rsidP="00131385">
      <w:pPr>
        <w:numPr>
          <w:ilvl w:val="0"/>
          <w:numId w:val="2"/>
        </w:numPr>
        <w:rPr>
          <w:b/>
        </w:rPr>
      </w:pPr>
      <w:r w:rsidRPr="00051FC4">
        <w:rPr>
          <w:rFonts w:cs="Arial"/>
          <w:color w:val="000080"/>
          <w:szCs w:val="22"/>
        </w:rPr>
        <w:object w:dxaOrig="525" w:dyaOrig="450" w14:anchorId="54CB39FC">
          <v:shape id="_x0000_i1026" type="#_x0000_t75" style="width:22.5pt;height:18.75pt" o:ole="">
            <v:imagedata r:id="rId13" o:title="" cropbottom="10170f" cropleft="10236f" blacklevel="3932f"/>
          </v:shape>
          <o:OLEObject Type="Embed" ProgID="MSPhotoEd.3" ShapeID="_x0000_i1026" DrawAspect="Content" ObjectID="_1528198918" r:id="rId16"/>
        </w:object>
      </w:r>
      <w:r>
        <w:rPr>
          <w:rFonts w:cs="Arial"/>
          <w:color w:val="000080"/>
          <w:szCs w:val="22"/>
        </w:rPr>
        <w:t xml:space="preserve">   </w:t>
      </w:r>
      <w:r w:rsidRPr="00E33C71">
        <w:rPr>
          <w:rFonts w:cs="Arial"/>
          <w:noProof/>
          <w:color w:val="000080"/>
          <w:szCs w:val="22"/>
        </w:rPr>
        <w:drawing>
          <wp:inline distT="0" distB="0" distL="0" distR="0" wp14:anchorId="54CB39FD" wp14:editId="54CB39FE">
            <wp:extent cx="238125" cy="247650"/>
            <wp:effectExtent l="19050" t="0" r="9525" b="0"/>
            <wp:docPr id="11"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p w14:paraId="54CB39D5" w14:textId="77777777" w:rsidR="0045269C" w:rsidRDefault="0045269C" w:rsidP="00BB1F78">
      <w:pPr>
        <w:pStyle w:val="Title"/>
        <w:jc w:val="both"/>
      </w:pPr>
    </w:p>
    <w:p w14:paraId="54CB39D6" w14:textId="77777777" w:rsidR="00BB1F78" w:rsidRDefault="00E33C71" w:rsidP="00704BD4">
      <w:pPr>
        <w:pStyle w:val="Heading1"/>
      </w:pPr>
      <w:bookmarkStart w:id="9" w:name="_Toc292178520"/>
      <w:bookmarkStart w:id="10" w:name="_Toc293388787"/>
      <w:r>
        <w:t>I</w:t>
      </w:r>
      <w:r w:rsidR="00BB1F78">
        <w:t>nfotype 00</w:t>
      </w:r>
      <w:r>
        <w:t>15</w:t>
      </w:r>
      <w:r w:rsidR="00BB1F78">
        <w:t>:</w:t>
      </w:r>
      <w:bookmarkEnd w:id="9"/>
      <w:bookmarkEnd w:id="10"/>
    </w:p>
    <w:p w14:paraId="54CB39D7" w14:textId="77777777" w:rsidR="00E33C71" w:rsidRPr="00E33C71" w:rsidRDefault="00E33C71" w:rsidP="00E33C71"/>
    <w:p w14:paraId="54CB39D8" w14:textId="77777777" w:rsidR="00E33C71" w:rsidRPr="007C29D5" w:rsidRDefault="00E33C71" w:rsidP="00E33C71">
      <w:pPr>
        <w:pStyle w:val="BodyText"/>
        <w:numPr>
          <w:ilvl w:val="0"/>
          <w:numId w:val="2"/>
        </w:numPr>
        <w:rPr>
          <w:sz w:val="22"/>
          <w:szCs w:val="22"/>
        </w:rPr>
      </w:pPr>
      <w:r w:rsidRPr="007C29D5">
        <w:rPr>
          <w:sz w:val="22"/>
          <w:szCs w:val="22"/>
        </w:rPr>
        <w:t xml:space="preserve">This infotype is used to maintain additional payment information such as a management cash performance award or a highway agility program cash payment. </w:t>
      </w:r>
    </w:p>
    <w:p w14:paraId="54CB39D9" w14:textId="77777777" w:rsidR="0045269C" w:rsidRPr="00BB1F78" w:rsidRDefault="0045269C" w:rsidP="00BB1F78">
      <w:pPr>
        <w:pStyle w:val="Title"/>
        <w:ind w:left="720"/>
        <w:jc w:val="both"/>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546"/>
        <w:gridCol w:w="4294"/>
        <w:gridCol w:w="2646"/>
      </w:tblGrid>
      <w:tr w:rsidR="0045269C" w:rsidRPr="00051FC4" w14:paraId="54CB39DF" w14:textId="77777777">
        <w:trPr>
          <w:cantSplit/>
          <w:trHeight w:val="485"/>
        </w:trPr>
        <w:tc>
          <w:tcPr>
            <w:tcW w:w="1010" w:type="dxa"/>
            <w:vMerge w:val="restart"/>
            <w:shd w:val="clear" w:color="auto" w:fill="auto"/>
            <w:vAlign w:val="center"/>
          </w:tcPr>
          <w:p w14:paraId="54CB39DA" w14:textId="77777777" w:rsidR="0045269C" w:rsidRPr="00051FC4" w:rsidRDefault="0045269C" w:rsidP="0045269C">
            <w:pPr>
              <w:jc w:val="center"/>
              <w:rPr>
                <w:rFonts w:cs="Arial"/>
                <w:szCs w:val="22"/>
              </w:rPr>
            </w:pPr>
            <w:r w:rsidRPr="00051FC4">
              <w:rPr>
                <w:rFonts w:cs="Arial"/>
                <w:szCs w:val="22"/>
              </w:rPr>
              <w:t>00</w:t>
            </w:r>
            <w:r w:rsidR="00E33C71">
              <w:rPr>
                <w:rFonts w:cs="Arial"/>
                <w:szCs w:val="22"/>
              </w:rPr>
              <w:t>15</w:t>
            </w:r>
          </w:p>
          <w:p w14:paraId="54CB39DB" w14:textId="77777777" w:rsidR="0045269C" w:rsidRPr="00051FC4" w:rsidRDefault="0045269C" w:rsidP="0045269C">
            <w:pPr>
              <w:rPr>
                <w:rFonts w:cs="Arial"/>
                <w:szCs w:val="22"/>
              </w:rPr>
            </w:pPr>
          </w:p>
        </w:tc>
        <w:tc>
          <w:tcPr>
            <w:tcW w:w="2546" w:type="dxa"/>
            <w:shd w:val="clear" w:color="auto" w:fill="auto"/>
            <w:vAlign w:val="bottom"/>
          </w:tcPr>
          <w:p w14:paraId="54CB39DC" w14:textId="77777777" w:rsidR="0045269C" w:rsidRPr="00051FC4" w:rsidRDefault="00E33C71" w:rsidP="0045269C">
            <w:pPr>
              <w:rPr>
                <w:rFonts w:cs="Arial"/>
                <w:szCs w:val="22"/>
              </w:rPr>
            </w:pPr>
            <w:r>
              <w:rPr>
                <w:rFonts w:cs="Arial"/>
                <w:szCs w:val="22"/>
              </w:rPr>
              <w:t>Wage Type</w:t>
            </w:r>
          </w:p>
        </w:tc>
        <w:tc>
          <w:tcPr>
            <w:tcW w:w="4294" w:type="dxa"/>
            <w:shd w:val="clear" w:color="auto" w:fill="auto"/>
            <w:vAlign w:val="bottom"/>
          </w:tcPr>
          <w:p w14:paraId="54CB39DD" w14:textId="77777777" w:rsidR="0045269C" w:rsidRPr="00051FC4" w:rsidRDefault="00096AE5" w:rsidP="00096AE5">
            <w:pPr>
              <w:rPr>
                <w:rFonts w:cs="Arial"/>
                <w:szCs w:val="22"/>
              </w:rPr>
            </w:pPr>
            <w:r>
              <w:t xml:space="preserve">Using dropdown box select code from PAR </w:t>
            </w:r>
          </w:p>
        </w:tc>
        <w:tc>
          <w:tcPr>
            <w:tcW w:w="2646" w:type="dxa"/>
            <w:shd w:val="clear" w:color="auto" w:fill="auto"/>
            <w:vAlign w:val="bottom"/>
          </w:tcPr>
          <w:p w14:paraId="54CB39DE" w14:textId="77777777" w:rsidR="0045269C" w:rsidRPr="00051FC4" w:rsidRDefault="0045269C" w:rsidP="0045269C">
            <w:pPr>
              <w:rPr>
                <w:rFonts w:cs="Arial"/>
                <w:color w:val="000080"/>
                <w:szCs w:val="22"/>
              </w:rPr>
            </w:pPr>
            <w:r w:rsidRPr="00051FC4">
              <w:rPr>
                <w:rFonts w:cs="Arial"/>
                <w:color w:val="000080"/>
                <w:szCs w:val="22"/>
              </w:rPr>
              <w:t xml:space="preserve">      </w:t>
            </w:r>
          </w:p>
        </w:tc>
      </w:tr>
      <w:tr w:rsidR="0045269C" w:rsidRPr="00051FC4" w14:paraId="54CB39E4" w14:textId="77777777">
        <w:trPr>
          <w:cantSplit/>
          <w:trHeight w:val="422"/>
        </w:trPr>
        <w:tc>
          <w:tcPr>
            <w:tcW w:w="1010" w:type="dxa"/>
            <w:vMerge/>
            <w:shd w:val="clear" w:color="auto" w:fill="auto"/>
            <w:vAlign w:val="bottom"/>
          </w:tcPr>
          <w:p w14:paraId="54CB39E0" w14:textId="77777777" w:rsidR="0045269C" w:rsidRPr="00051FC4" w:rsidRDefault="0045269C" w:rsidP="0045269C">
            <w:pPr>
              <w:rPr>
                <w:rFonts w:cs="Arial"/>
                <w:szCs w:val="22"/>
              </w:rPr>
            </w:pPr>
          </w:p>
        </w:tc>
        <w:tc>
          <w:tcPr>
            <w:tcW w:w="2546" w:type="dxa"/>
            <w:shd w:val="clear" w:color="auto" w:fill="auto"/>
            <w:vAlign w:val="bottom"/>
          </w:tcPr>
          <w:p w14:paraId="54CB39E1" w14:textId="77777777" w:rsidR="0045269C" w:rsidRPr="00051FC4" w:rsidRDefault="00096AE5" w:rsidP="0045269C">
            <w:pPr>
              <w:rPr>
                <w:rFonts w:cs="Arial"/>
                <w:szCs w:val="22"/>
              </w:rPr>
            </w:pPr>
            <w:r>
              <w:rPr>
                <w:rFonts w:cs="Arial"/>
                <w:szCs w:val="22"/>
              </w:rPr>
              <w:t>Amount</w:t>
            </w:r>
          </w:p>
        </w:tc>
        <w:tc>
          <w:tcPr>
            <w:tcW w:w="4294" w:type="dxa"/>
            <w:shd w:val="clear" w:color="auto" w:fill="auto"/>
            <w:vAlign w:val="bottom"/>
          </w:tcPr>
          <w:p w14:paraId="54CB39E2" w14:textId="77777777" w:rsidR="0045269C" w:rsidRPr="00051FC4" w:rsidRDefault="00096AE5" w:rsidP="0045269C">
            <w:pPr>
              <w:rPr>
                <w:rFonts w:cs="Arial"/>
                <w:szCs w:val="22"/>
              </w:rPr>
            </w:pPr>
            <w:r>
              <w:rPr>
                <w:rFonts w:cs="Arial"/>
                <w:szCs w:val="22"/>
              </w:rPr>
              <w:t>Enter the amount of non-recurring payment from PAR</w:t>
            </w:r>
          </w:p>
        </w:tc>
        <w:tc>
          <w:tcPr>
            <w:tcW w:w="2646" w:type="dxa"/>
            <w:shd w:val="clear" w:color="auto" w:fill="auto"/>
            <w:vAlign w:val="bottom"/>
          </w:tcPr>
          <w:p w14:paraId="54CB39E3" w14:textId="77777777" w:rsidR="0045269C" w:rsidRPr="00051FC4" w:rsidRDefault="0045269C" w:rsidP="00EB3741">
            <w:pPr>
              <w:rPr>
                <w:rFonts w:cs="Arial"/>
                <w:color w:val="000080"/>
                <w:szCs w:val="22"/>
              </w:rPr>
            </w:pPr>
          </w:p>
        </w:tc>
      </w:tr>
      <w:tr w:rsidR="0045269C" w:rsidRPr="00051FC4" w14:paraId="54CB39E9" w14:textId="77777777" w:rsidTr="007C29D5">
        <w:trPr>
          <w:cantSplit/>
          <w:trHeight w:val="458"/>
        </w:trPr>
        <w:tc>
          <w:tcPr>
            <w:tcW w:w="1010" w:type="dxa"/>
            <w:vMerge/>
            <w:tcBorders>
              <w:bottom w:val="single" w:sz="4" w:space="0" w:color="auto"/>
            </w:tcBorders>
            <w:shd w:val="clear" w:color="auto" w:fill="auto"/>
          </w:tcPr>
          <w:p w14:paraId="54CB39E5" w14:textId="77777777" w:rsidR="0045269C" w:rsidRPr="00051FC4" w:rsidRDefault="0045269C" w:rsidP="0045269C">
            <w:pPr>
              <w:rPr>
                <w:rFonts w:cs="Arial"/>
                <w:szCs w:val="22"/>
              </w:rPr>
            </w:pPr>
          </w:p>
        </w:tc>
        <w:tc>
          <w:tcPr>
            <w:tcW w:w="2546" w:type="dxa"/>
            <w:tcBorders>
              <w:top w:val="nil"/>
            </w:tcBorders>
            <w:shd w:val="clear" w:color="auto" w:fill="auto"/>
            <w:vAlign w:val="bottom"/>
          </w:tcPr>
          <w:p w14:paraId="54CB39E6" w14:textId="77777777" w:rsidR="0045269C" w:rsidRPr="00051FC4" w:rsidRDefault="00096AE5" w:rsidP="0045269C">
            <w:pPr>
              <w:rPr>
                <w:rFonts w:cs="Arial"/>
                <w:szCs w:val="22"/>
              </w:rPr>
            </w:pPr>
            <w:r>
              <w:rPr>
                <w:rFonts w:cs="Arial"/>
                <w:szCs w:val="22"/>
              </w:rPr>
              <w:t>Date of Origin</w:t>
            </w:r>
          </w:p>
        </w:tc>
        <w:tc>
          <w:tcPr>
            <w:tcW w:w="4294" w:type="dxa"/>
            <w:tcBorders>
              <w:top w:val="nil"/>
            </w:tcBorders>
            <w:shd w:val="clear" w:color="auto" w:fill="auto"/>
            <w:vAlign w:val="bottom"/>
          </w:tcPr>
          <w:p w14:paraId="54CB39E7" w14:textId="77777777" w:rsidR="0045269C" w:rsidRPr="00051FC4" w:rsidRDefault="00096AE5" w:rsidP="0045269C">
            <w:pPr>
              <w:rPr>
                <w:rFonts w:cs="Arial"/>
                <w:szCs w:val="22"/>
              </w:rPr>
            </w:pPr>
            <w:r>
              <w:rPr>
                <w:rFonts w:cs="Arial"/>
                <w:szCs w:val="22"/>
              </w:rPr>
              <w:t>SAP assigns the last day of the current pay, you can overwrite the date. Use effective date on PAR</w:t>
            </w:r>
          </w:p>
        </w:tc>
        <w:tc>
          <w:tcPr>
            <w:tcW w:w="2646" w:type="dxa"/>
            <w:shd w:val="clear" w:color="auto" w:fill="auto"/>
            <w:vAlign w:val="bottom"/>
          </w:tcPr>
          <w:p w14:paraId="54CB39E8" w14:textId="77777777" w:rsidR="0045269C" w:rsidRPr="00051FC4" w:rsidRDefault="00096AE5" w:rsidP="0045269C">
            <w:pPr>
              <w:rPr>
                <w:rFonts w:cs="Arial"/>
                <w:color w:val="000080"/>
                <w:szCs w:val="22"/>
              </w:rPr>
            </w:pPr>
            <w:r w:rsidRPr="00051FC4">
              <w:rPr>
                <w:rFonts w:cs="Arial"/>
                <w:color w:val="000080"/>
                <w:szCs w:val="22"/>
              </w:rPr>
              <w:object w:dxaOrig="525" w:dyaOrig="450" w14:anchorId="54CB39FF">
                <v:shape id="_x0000_i1027" type="#_x0000_t75" style="width:22.5pt;height:18.75pt" o:ole="">
                  <v:imagedata r:id="rId13" o:title="" cropbottom="10170f" cropleft="10236f" blacklevel="3932f"/>
                </v:shape>
                <o:OLEObject Type="Embed" ProgID="MSPhotoEd.3" ShapeID="_x0000_i1027" DrawAspect="Content" ObjectID="_1528198919" r:id="rId17"/>
              </w:object>
            </w:r>
            <w:r>
              <w:rPr>
                <w:rFonts w:cs="Arial"/>
                <w:color w:val="000080"/>
                <w:szCs w:val="22"/>
              </w:rPr>
              <w:t xml:space="preserve">   </w:t>
            </w:r>
            <w:r w:rsidRPr="00096AE5">
              <w:rPr>
                <w:rFonts w:cs="Arial"/>
                <w:noProof/>
                <w:color w:val="000080"/>
                <w:szCs w:val="22"/>
              </w:rPr>
              <w:drawing>
                <wp:inline distT="0" distB="0" distL="0" distR="0" wp14:anchorId="54CB3A00" wp14:editId="54CB3A01">
                  <wp:extent cx="238125" cy="247650"/>
                  <wp:effectExtent l="19050" t="0" r="9525" b="0"/>
                  <wp:docPr id="14" name="Picture 1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54CB39EA" w14:textId="77777777" w:rsidR="0030354F" w:rsidRDefault="0030354F" w:rsidP="00BB1F78">
      <w:pPr>
        <w:pStyle w:val="Title"/>
        <w:jc w:val="both"/>
      </w:pPr>
    </w:p>
    <w:p w14:paraId="54CB39EB" w14:textId="77777777" w:rsidR="00626017" w:rsidRDefault="00626017" w:rsidP="00704BD4">
      <w:pPr>
        <w:pStyle w:val="Heading1"/>
      </w:pPr>
      <w:bookmarkStart w:id="11" w:name="_Toc292178526"/>
      <w:bookmarkStart w:id="12" w:name="_Toc293388788"/>
      <w:r>
        <w:t>Infotype 0041</w:t>
      </w:r>
      <w:bookmarkEnd w:id="11"/>
      <w:bookmarkEnd w:id="12"/>
    </w:p>
    <w:p w14:paraId="54CB39EC" w14:textId="77777777" w:rsidR="00755571" w:rsidRPr="00755571" w:rsidRDefault="00755571" w:rsidP="00755571"/>
    <w:p w14:paraId="54CB39ED" w14:textId="77777777" w:rsidR="00626017" w:rsidRPr="00755571" w:rsidRDefault="00096AE5" w:rsidP="00755571">
      <w:pPr>
        <w:pStyle w:val="Title"/>
        <w:numPr>
          <w:ilvl w:val="0"/>
          <w:numId w:val="9"/>
        </w:numPr>
        <w:jc w:val="left"/>
      </w:pPr>
      <w:r w:rsidRPr="00755571">
        <w:rPr>
          <w:b w:val="0"/>
          <w:sz w:val="22"/>
          <w:szCs w:val="22"/>
        </w:rPr>
        <w:t>This infotype is only maintained for Management Cash Performance Awards</w:t>
      </w:r>
      <w:r w:rsidRPr="00096AE5">
        <w:rPr>
          <w:rFonts w:cs="Arial"/>
          <w:b w:val="0"/>
          <w:sz w:val="22"/>
          <w:szCs w:val="22"/>
        </w:rPr>
        <w:t xml:space="preserve"> </w:t>
      </w:r>
    </w:p>
    <w:p w14:paraId="54CB39EE" w14:textId="77777777" w:rsidR="00755571" w:rsidRDefault="00755571" w:rsidP="007C29D5">
      <w:pPr>
        <w:pStyle w:val="Title"/>
        <w:jc w:val="left"/>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547"/>
        <w:gridCol w:w="4293"/>
        <w:gridCol w:w="2648"/>
      </w:tblGrid>
      <w:tr w:rsidR="00BB1F78" w:rsidRPr="00051FC4" w14:paraId="54CB39F5" w14:textId="77777777">
        <w:trPr>
          <w:trHeight w:val="467"/>
        </w:trPr>
        <w:tc>
          <w:tcPr>
            <w:tcW w:w="1008" w:type="dxa"/>
            <w:shd w:val="clear" w:color="auto" w:fill="auto"/>
            <w:vAlign w:val="bottom"/>
          </w:tcPr>
          <w:p w14:paraId="54CB39EF" w14:textId="77777777" w:rsidR="00BB1F78" w:rsidRPr="00051FC4" w:rsidRDefault="001D5B28" w:rsidP="00BD6932">
            <w:pPr>
              <w:jc w:val="center"/>
              <w:rPr>
                <w:rFonts w:cs="Arial"/>
                <w:szCs w:val="22"/>
              </w:rPr>
            </w:pPr>
            <w:r>
              <w:rPr>
                <w:rFonts w:cs="Arial"/>
                <w:szCs w:val="22"/>
              </w:rPr>
              <w:t>0</w:t>
            </w:r>
            <w:r w:rsidR="00BB1F78" w:rsidRPr="00051FC4">
              <w:rPr>
                <w:rFonts w:cs="Arial"/>
                <w:szCs w:val="22"/>
              </w:rPr>
              <w:t>041</w:t>
            </w:r>
          </w:p>
        </w:tc>
        <w:tc>
          <w:tcPr>
            <w:tcW w:w="2547" w:type="dxa"/>
            <w:shd w:val="clear" w:color="auto" w:fill="auto"/>
            <w:vAlign w:val="bottom"/>
          </w:tcPr>
          <w:p w14:paraId="54CB39F0" w14:textId="77777777" w:rsidR="00BB1F78" w:rsidRPr="00051FC4" w:rsidRDefault="00BB1F78" w:rsidP="00BD6932">
            <w:pPr>
              <w:rPr>
                <w:rFonts w:cs="Arial"/>
                <w:szCs w:val="22"/>
              </w:rPr>
            </w:pPr>
            <w:r w:rsidRPr="00051FC4">
              <w:rPr>
                <w:rFonts w:cs="Arial"/>
                <w:szCs w:val="22"/>
              </w:rPr>
              <w:t>Date Specifications</w:t>
            </w:r>
          </w:p>
        </w:tc>
        <w:tc>
          <w:tcPr>
            <w:tcW w:w="4293" w:type="dxa"/>
            <w:shd w:val="clear" w:color="auto" w:fill="auto"/>
            <w:vAlign w:val="bottom"/>
          </w:tcPr>
          <w:p w14:paraId="54CB39F1" w14:textId="77777777" w:rsidR="00BB1F78" w:rsidRPr="00051FC4" w:rsidRDefault="00BB1F78" w:rsidP="00755571">
            <w:pPr>
              <w:rPr>
                <w:rFonts w:cs="Arial"/>
                <w:szCs w:val="22"/>
              </w:rPr>
            </w:pPr>
            <w:r w:rsidRPr="00051FC4">
              <w:rPr>
                <w:rFonts w:cs="Arial"/>
                <w:szCs w:val="22"/>
              </w:rPr>
              <w:t xml:space="preserve">Mandatory dates will pre-populate, Verify dates. </w:t>
            </w:r>
          </w:p>
        </w:tc>
        <w:tc>
          <w:tcPr>
            <w:tcW w:w="2648" w:type="dxa"/>
            <w:shd w:val="clear" w:color="auto" w:fill="auto"/>
            <w:vAlign w:val="bottom"/>
          </w:tcPr>
          <w:p w14:paraId="54CB39F2" w14:textId="77777777" w:rsidR="001D5B28" w:rsidRDefault="00755571" w:rsidP="00BD6932">
            <w:pPr>
              <w:rPr>
                <w:rFonts w:cs="Arial"/>
                <w:szCs w:val="22"/>
              </w:rPr>
            </w:pPr>
            <w:r>
              <w:rPr>
                <w:rFonts w:cs="Arial"/>
                <w:szCs w:val="22"/>
              </w:rPr>
              <w:t>Add</w:t>
            </w:r>
          </w:p>
          <w:p w14:paraId="54CB39F3" w14:textId="77777777" w:rsidR="001D5B28" w:rsidRDefault="001D5B28" w:rsidP="00BD6932">
            <w:pPr>
              <w:rPr>
                <w:rFonts w:cs="Arial"/>
                <w:szCs w:val="22"/>
              </w:rPr>
            </w:pPr>
            <w:r>
              <w:rPr>
                <w:rFonts w:cs="Arial"/>
                <w:szCs w:val="22"/>
              </w:rPr>
              <w:t>Z</w:t>
            </w:r>
            <w:r w:rsidR="00755571">
              <w:rPr>
                <w:rFonts w:cs="Arial"/>
                <w:szCs w:val="22"/>
              </w:rPr>
              <w:t>A</w:t>
            </w:r>
            <w:r>
              <w:rPr>
                <w:rFonts w:cs="Arial"/>
                <w:szCs w:val="22"/>
              </w:rPr>
              <w:t xml:space="preserve"> – </w:t>
            </w:r>
            <w:r w:rsidR="00755571">
              <w:rPr>
                <w:rFonts w:cs="Arial"/>
                <w:szCs w:val="22"/>
              </w:rPr>
              <w:t>Mgmt Cash Perf Award</w:t>
            </w:r>
          </w:p>
          <w:p w14:paraId="54CB39F4" w14:textId="77777777" w:rsidR="00BB1F78" w:rsidRPr="00051FC4" w:rsidRDefault="00BB1F78" w:rsidP="00BD6932">
            <w:pPr>
              <w:rPr>
                <w:rFonts w:cs="Arial"/>
                <w:color w:val="000080"/>
                <w:szCs w:val="22"/>
              </w:rPr>
            </w:pPr>
            <w:r w:rsidRPr="00051FC4">
              <w:rPr>
                <w:rFonts w:cs="Arial"/>
                <w:szCs w:val="22"/>
              </w:rPr>
              <w:object w:dxaOrig="525" w:dyaOrig="450" w14:anchorId="54CB3A02">
                <v:shape id="_x0000_i1028" type="#_x0000_t75" style="width:22.5pt;height:18.75pt" o:ole="">
                  <v:imagedata r:id="rId13" o:title="" cropbottom="10170f" cropleft="10236f" blacklevel="3932f"/>
                </v:shape>
                <o:OLEObject Type="Embed" ProgID="MSPhotoEd.3" ShapeID="_x0000_i1028" DrawAspect="Content" ObjectID="_1528198920" r:id="rId18"/>
              </w:object>
            </w:r>
            <w:r w:rsidRPr="00051FC4">
              <w:rPr>
                <w:rFonts w:cs="Arial"/>
                <w:szCs w:val="22"/>
              </w:rPr>
              <w:t xml:space="preserve">      </w:t>
            </w:r>
            <w:r w:rsidR="000A680F">
              <w:rPr>
                <w:rFonts w:cs="Arial"/>
                <w:noProof/>
                <w:color w:val="000080"/>
                <w:szCs w:val="22"/>
              </w:rPr>
              <w:drawing>
                <wp:inline distT="0" distB="0" distL="0" distR="0" wp14:anchorId="54CB3A03" wp14:editId="54CB3A04">
                  <wp:extent cx="238125" cy="247650"/>
                  <wp:effectExtent l="19050" t="0" r="9525" b="0"/>
                  <wp:docPr id="31" name="Picture 7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54CB39F6" w14:textId="77777777" w:rsidR="00A44E0D" w:rsidRDefault="00A44E0D" w:rsidP="007C29D5">
      <w:pPr>
        <w:pStyle w:val="Title"/>
        <w:jc w:val="left"/>
        <w:rPr>
          <w:rFonts w:cs="Arial"/>
          <w:sz w:val="22"/>
          <w:szCs w:val="22"/>
        </w:rPr>
      </w:pPr>
    </w:p>
    <w:sectPr w:rsidR="00A44E0D" w:rsidSect="002E2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B3A07" w14:textId="77777777" w:rsidR="00235AE9" w:rsidRDefault="00235AE9" w:rsidP="00626017">
      <w:r>
        <w:separator/>
      </w:r>
    </w:p>
  </w:endnote>
  <w:endnote w:type="continuationSeparator" w:id="0">
    <w:p w14:paraId="54CB3A08" w14:textId="77777777" w:rsidR="00235AE9" w:rsidRDefault="00235AE9" w:rsidP="0062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imes-Roma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B3A05" w14:textId="77777777" w:rsidR="00235AE9" w:rsidRDefault="00235AE9" w:rsidP="00626017">
      <w:r>
        <w:separator/>
      </w:r>
    </w:p>
  </w:footnote>
  <w:footnote w:type="continuationSeparator" w:id="0">
    <w:p w14:paraId="54CB3A06" w14:textId="77777777" w:rsidR="00235AE9" w:rsidRDefault="00235AE9" w:rsidP="00626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A07"/>
    <w:multiLevelType w:val="hybridMultilevel"/>
    <w:tmpl w:val="16CE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8AC"/>
    <w:multiLevelType w:val="hybridMultilevel"/>
    <w:tmpl w:val="AEC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54ACA"/>
    <w:multiLevelType w:val="hybridMultilevel"/>
    <w:tmpl w:val="0AB0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FC1"/>
    <w:multiLevelType w:val="hybridMultilevel"/>
    <w:tmpl w:val="7374C466"/>
    <w:lvl w:ilvl="0" w:tplc="04090003">
      <w:start w:val="1"/>
      <w:numFmt w:val="bullet"/>
      <w:lvlText w:val="o"/>
      <w:lvlJc w:val="left"/>
      <w:pPr>
        <w:ind w:left="1618" w:hanging="360"/>
      </w:pPr>
      <w:rPr>
        <w:rFonts w:ascii="Courier New" w:hAnsi="Courier New" w:cs="Courier New"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4">
    <w:nsid w:val="33A05114"/>
    <w:multiLevelType w:val="hybridMultilevel"/>
    <w:tmpl w:val="7B48D7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E405AE"/>
    <w:multiLevelType w:val="hybridMultilevel"/>
    <w:tmpl w:val="1C08BFB6"/>
    <w:lvl w:ilvl="0" w:tplc="341EE5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42B6"/>
    <w:multiLevelType w:val="hybridMultilevel"/>
    <w:tmpl w:val="B07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A28D9"/>
    <w:multiLevelType w:val="hybridMultilevel"/>
    <w:tmpl w:val="DF1A6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5B7866"/>
    <w:multiLevelType w:val="hybridMultilevel"/>
    <w:tmpl w:val="A1B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06286"/>
    <w:multiLevelType w:val="hybridMultilevel"/>
    <w:tmpl w:val="DED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82245"/>
    <w:multiLevelType w:val="hybridMultilevel"/>
    <w:tmpl w:val="956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17774E"/>
    <w:multiLevelType w:val="hybridMultilevel"/>
    <w:tmpl w:val="952C44C2"/>
    <w:lvl w:ilvl="0" w:tplc="81D2DADE">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5"/>
  </w:num>
  <w:num w:numId="6">
    <w:abstractNumId w:val="2"/>
  </w:num>
  <w:num w:numId="7">
    <w:abstractNumId w:val="4"/>
  </w:num>
  <w:num w:numId="8">
    <w:abstractNumId w:val="3"/>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E"/>
    <w:rsid w:val="0004214B"/>
    <w:rsid w:val="00094718"/>
    <w:rsid w:val="00096AE5"/>
    <w:rsid w:val="000A680F"/>
    <w:rsid w:val="000C5D1A"/>
    <w:rsid w:val="000E4E04"/>
    <w:rsid w:val="000E6436"/>
    <w:rsid w:val="000E7C3F"/>
    <w:rsid w:val="00131385"/>
    <w:rsid w:val="00164C40"/>
    <w:rsid w:val="0018258D"/>
    <w:rsid w:val="001B576D"/>
    <w:rsid w:val="001C0572"/>
    <w:rsid w:val="001D5B28"/>
    <w:rsid w:val="00205138"/>
    <w:rsid w:val="002263A3"/>
    <w:rsid w:val="00235AE9"/>
    <w:rsid w:val="00272D11"/>
    <w:rsid w:val="00274653"/>
    <w:rsid w:val="00285BF7"/>
    <w:rsid w:val="0029533E"/>
    <w:rsid w:val="002B1D19"/>
    <w:rsid w:val="002B2B18"/>
    <w:rsid w:val="002C25FD"/>
    <w:rsid w:val="002C4D9B"/>
    <w:rsid w:val="002E27AB"/>
    <w:rsid w:val="002E2C02"/>
    <w:rsid w:val="002E6C1F"/>
    <w:rsid w:val="002F457A"/>
    <w:rsid w:val="0030354F"/>
    <w:rsid w:val="0032440E"/>
    <w:rsid w:val="00343562"/>
    <w:rsid w:val="003752A4"/>
    <w:rsid w:val="003B4E02"/>
    <w:rsid w:val="003B656E"/>
    <w:rsid w:val="003B73CD"/>
    <w:rsid w:val="0045269C"/>
    <w:rsid w:val="00470B2C"/>
    <w:rsid w:val="00483013"/>
    <w:rsid w:val="00513A1D"/>
    <w:rsid w:val="00527535"/>
    <w:rsid w:val="00535EE5"/>
    <w:rsid w:val="0058358A"/>
    <w:rsid w:val="005E6BDD"/>
    <w:rsid w:val="00626017"/>
    <w:rsid w:val="00640170"/>
    <w:rsid w:val="006C519A"/>
    <w:rsid w:val="006C51CA"/>
    <w:rsid w:val="00701FFD"/>
    <w:rsid w:val="00704BD4"/>
    <w:rsid w:val="00736E05"/>
    <w:rsid w:val="00751745"/>
    <w:rsid w:val="00755571"/>
    <w:rsid w:val="007A42B8"/>
    <w:rsid w:val="007B703E"/>
    <w:rsid w:val="007C29D5"/>
    <w:rsid w:val="007C533D"/>
    <w:rsid w:val="007D1957"/>
    <w:rsid w:val="0084439F"/>
    <w:rsid w:val="00882996"/>
    <w:rsid w:val="00946A8D"/>
    <w:rsid w:val="0095277A"/>
    <w:rsid w:val="00972D15"/>
    <w:rsid w:val="00983510"/>
    <w:rsid w:val="00990F61"/>
    <w:rsid w:val="009E009D"/>
    <w:rsid w:val="00A15C4F"/>
    <w:rsid w:val="00A44E0D"/>
    <w:rsid w:val="00A559C2"/>
    <w:rsid w:val="00A85374"/>
    <w:rsid w:val="00A924B5"/>
    <w:rsid w:val="00AC5885"/>
    <w:rsid w:val="00AD6CFB"/>
    <w:rsid w:val="00B16035"/>
    <w:rsid w:val="00B60BC3"/>
    <w:rsid w:val="00B66D23"/>
    <w:rsid w:val="00BA3189"/>
    <w:rsid w:val="00BB1A30"/>
    <w:rsid w:val="00BB1F78"/>
    <w:rsid w:val="00BB7547"/>
    <w:rsid w:val="00BC5551"/>
    <w:rsid w:val="00BD6932"/>
    <w:rsid w:val="00BE0B82"/>
    <w:rsid w:val="00C97687"/>
    <w:rsid w:val="00C97B93"/>
    <w:rsid w:val="00CD74FF"/>
    <w:rsid w:val="00CE3B44"/>
    <w:rsid w:val="00D20F17"/>
    <w:rsid w:val="00D748CA"/>
    <w:rsid w:val="00DA09AB"/>
    <w:rsid w:val="00DE7F6C"/>
    <w:rsid w:val="00E0457E"/>
    <w:rsid w:val="00E33C71"/>
    <w:rsid w:val="00E53A52"/>
    <w:rsid w:val="00E80C2D"/>
    <w:rsid w:val="00E97F5E"/>
    <w:rsid w:val="00EA605D"/>
    <w:rsid w:val="00EB3741"/>
    <w:rsid w:val="00F10D47"/>
    <w:rsid w:val="00F169F8"/>
    <w:rsid w:val="00F650B4"/>
    <w:rsid w:val="00F6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4:docId w14:val="54CB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40E"/>
    <w:rPr>
      <w:rFonts w:ascii="Arial" w:eastAsia="Times New Roman" w:hAnsi="Arial"/>
      <w:sz w:val="22"/>
      <w:szCs w:val="24"/>
    </w:rPr>
  </w:style>
  <w:style w:type="paragraph" w:styleId="Heading1">
    <w:name w:val="heading 1"/>
    <w:basedOn w:val="Normal"/>
    <w:next w:val="Normal"/>
    <w:link w:val="Heading1Char"/>
    <w:qFormat/>
    <w:rsid w:val="00626017"/>
    <w:pPr>
      <w:keepNext/>
      <w:outlineLvl w:val="0"/>
    </w:pPr>
    <w:rPr>
      <w:b/>
      <w:bCs/>
    </w:rPr>
  </w:style>
  <w:style w:type="paragraph" w:styleId="Heading3">
    <w:name w:val="heading 3"/>
    <w:basedOn w:val="Normal"/>
    <w:next w:val="Normal"/>
    <w:link w:val="Heading3Char"/>
    <w:uiPriority w:val="9"/>
    <w:semiHidden/>
    <w:unhideWhenUsed/>
    <w:qFormat/>
    <w:rsid w:val="00272D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0E"/>
    <w:rPr>
      <w:rFonts w:ascii="Tahoma" w:hAnsi="Tahoma" w:cs="Tahoma"/>
      <w:sz w:val="16"/>
      <w:szCs w:val="16"/>
    </w:rPr>
  </w:style>
  <w:style w:type="character" w:customStyle="1" w:styleId="BalloonTextChar">
    <w:name w:val="Balloon Text Char"/>
    <w:basedOn w:val="DefaultParagraphFont"/>
    <w:link w:val="BalloonText"/>
    <w:uiPriority w:val="99"/>
    <w:semiHidden/>
    <w:rsid w:val="0032440E"/>
    <w:rPr>
      <w:rFonts w:ascii="Tahoma" w:eastAsia="Times New Roman" w:hAnsi="Tahoma" w:cs="Tahoma"/>
      <w:sz w:val="16"/>
      <w:szCs w:val="16"/>
    </w:rPr>
  </w:style>
  <w:style w:type="paragraph" w:styleId="Title">
    <w:name w:val="Title"/>
    <w:basedOn w:val="Normal"/>
    <w:link w:val="TitleChar"/>
    <w:qFormat/>
    <w:rsid w:val="0032440E"/>
    <w:pPr>
      <w:jc w:val="center"/>
    </w:pPr>
    <w:rPr>
      <w:b/>
      <w:bCs/>
      <w:sz w:val="28"/>
    </w:rPr>
  </w:style>
  <w:style w:type="character" w:customStyle="1" w:styleId="TitleChar">
    <w:name w:val="Title Char"/>
    <w:basedOn w:val="DefaultParagraphFont"/>
    <w:link w:val="Title"/>
    <w:rsid w:val="0032440E"/>
    <w:rPr>
      <w:rFonts w:ascii="Arial" w:eastAsia="Times New Roman" w:hAnsi="Arial" w:cs="Times New Roman"/>
      <w:b/>
      <w:bCs/>
      <w:sz w:val="28"/>
      <w:szCs w:val="24"/>
    </w:rPr>
  </w:style>
  <w:style w:type="character" w:customStyle="1" w:styleId="Heading1Char">
    <w:name w:val="Heading 1 Char"/>
    <w:basedOn w:val="DefaultParagraphFont"/>
    <w:link w:val="Heading1"/>
    <w:rsid w:val="00626017"/>
    <w:rPr>
      <w:rFonts w:ascii="Arial" w:eastAsia="Times New Roman" w:hAnsi="Arial" w:cs="Times New Roman"/>
      <w:b/>
      <w:bCs/>
      <w:szCs w:val="24"/>
    </w:rPr>
  </w:style>
  <w:style w:type="paragraph" w:styleId="Header">
    <w:name w:val="header"/>
    <w:basedOn w:val="Normal"/>
    <w:link w:val="HeaderChar"/>
    <w:uiPriority w:val="99"/>
    <w:semiHidden/>
    <w:unhideWhenUsed/>
    <w:rsid w:val="00626017"/>
    <w:pPr>
      <w:tabs>
        <w:tab w:val="center" w:pos="4680"/>
        <w:tab w:val="right" w:pos="9360"/>
      </w:tabs>
    </w:pPr>
  </w:style>
  <w:style w:type="character" w:customStyle="1" w:styleId="HeaderChar">
    <w:name w:val="Header Char"/>
    <w:basedOn w:val="DefaultParagraphFont"/>
    <w:link w:val="Header"/>
    <w:uiPriority w:val="99"/>
    <w:semiHidden/>
    <w:rsid w:val="00626017"/>
    <w:rPr>
      <w:rFonts w:ascii="Arial" w:eastAsia="Times New Roman" w:hAnsi="Arial" w:cs="Times New Roman"/>
      <w:szCs w:val="24"/>
    </w:rPr>
  </w:style>
  <w:style w:type="paragraph" w:styleId="Footer">
    <w:name w:val="footer"/>
    <w:basedOn w:val="Normal"/>
    <w:link w:val="FooterChar"/>
    <w:uiPriority w:val="99"/>
    <w:unhideWhenUsed/>
    <w:rsid w:val="00626017"/>
    <w:pPr>
      <w:tabs>
        <w:tab w:val="center" w:pos="4680"/>
        <w:tab w:val="right" w:pos="9360"/>
      </w:tabs>
    </w:pPr>
  </w:style>
  <w:style w:type="character" w:customStyle="1" w:styleId="FooterChar">
    <w:name w:val="Footer Char"/>
    <w:basedOn w:val="DefaultParagraphFont"/>
    <w:link w:val="Footer"/>
    <w:uiPriority w:val="99"/>
    <w:rsid w:val="00626017"/>
    <w:rPr>
      <w:rFonts w:ascii="Arial" w:eastAsia="Times New Roman" w:hAnsi="Arial" w:cs="Times New Roman"/>
      <w:szCs w:val="24"/>
    </w:rPr>
  </w:style>
  <w:style w:type="paragraph" w:styleId="TOCHeading">
    <w:name w:val="TOC Heading"/>
    <w:basedOn w:val="Heading1"/>
    <w:next w:val="Normal"/>
    <w:uiPriority w:val="39"/>
    <w:qFormat/>
    <w:rsid w:val="00704BD4"/>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04BD4"/>
  </w:style>
  <w:style w:type="character" w:styleId="Hyperlink">
    <w:name w:val="Hyperlink"/>
    <w:basedOn w:val="DefaultParagraphFont"/>
    <w:uiPriority w:val="99"/>
    <w:unhideWhenUsed/>
    <w:rsid w:val="00704BD4"/>
    <w:rPr>
      <w:color w:val="0000FF"/>
      <w:u w:val="single"/>
    </w:rPr>
  </w:style>
  <w:style w:type="character" w:customStyle="1" w:styleId="Heading3Char">
    <w:name w:val="Heading 3 Char"/>
    <w:basedOn w:val="DefaultParagraphFont"/>
    <w:link w:val="Heading3"/>
    <w:uiPriority w:val="9"/>
    <w:semiHidden/>
    <w:rsid w:val="00272D11"/>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272D11"/>
    <w:pPr>
      <w:numPr>
        <w:numId w:val="12"/>
      </w:numPr>
      <w:spacing w:after="120"/>
      <w:ind w:right="72"/>
    </w:pPr>
    <w:rPr>
      <w:sz w:val="20"/>
    </w:rPr>
  </w:style>
  <w:style w:type="character" w:customStyle="1" w:styleId="BodyTextChar">
    <w:name w:val="Body Text Char"/>
    <w:basedOn w:val="DefaultParagraphFont"/>
    <w:link w:val="BodyText"/>
    <w:rsid w:val="00272D11"/>
    <w:rPr>
      <w:rFonts w:ascii="Arial" w:eastAsia="Times New Roman" w:hAnsi="Arial"/>
      <w:szCs w:val="24"/>
    </w:rPr>
  </w:style>
  <w:style w:type="paragraph" w:styleId="NormalWeb">
    <w:name w:val="Normal (Web)"/>
    <w:basedOn w:val="Normal"/>
    <w:rsid w:val="00272D11"/>
    <w:pPr>
      <w:spacing w:before="100" w:beforeAutospacing="1" w:after="100" w:afterAutospacing="1"/>
    </w:pPr>
    <w:rPr>
      <w:rFonts w:ascii="Times New Roman" w:hAnsi="Times New Roman"/>
      <w:color w:val="000000"/>
      <w:sz w:val="24"/>
    </w:rPr>
  </w:style>
  <w:style w:type="paragraph" w:styleId="TOC3">
    <w:name w:val="toc 3"/>
    <w:basedOn w:val="Normal"/>
    <w:next w:val="Normal"/>
    <w:autoRedefine/>
    <w:uiPriority w:val="39"/>
    <w:unhideWhenUsed/>
    <w:rsid w:val="005835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40E"/>
    <w:rPr>
      <w:rFonts w:ascii="Arial" w:eastAsia="Times New Roman" w:hAnsi="Arial"/>
      <w:sz w:val="22"/>
      <w:szCs w:val="24"/>
    </w:rPr>
  </w:style>
  <w:style w:type="paragraph" w:styleId="Heading1">
    <w:name w:val="heading 1"/>
    <w:basedOn w:val="Normal"/>
    <w:next w:val="Normal"/>
    <w:link w:val="Heading1Char"/>
    <w:qFormat/>
    <w:rsid w:val="00626017"/>
    <w:pPr>
      <w:keepNext/>
      <w:outlineLvl w:val="0"/>
    </w:pPr>
    <w:rPr>
      <w:b/>
      <w:bCs/>
    </w:rPr>
  </w:style>
  <w:style w:type="paragraph" w:styleId="Heading3">
    <w:name w:val="heading 3"/>
    <w:basedOn w:val="Normal"/>
    <w:next w:val="Normal"/>
    <w:link w:val="Heading3Char"/>
    <w:uiPriority w:val="9"/>
    <w:semiHidden/>
    <w:unhideWhenUsed/>
    <w:qFormat/>
    <w:rsid w:val="00272D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0E"/>
    <w:rPr>
      <w:rFonts w:ascii="Tahoma" w:hAnsi="Tahoma" w:cs="Tahoma"/>
      <w:sz w:val="16"/>
      <w:szCs w:val="16"/>
    </w:rPr>
  </w:style>
  <w:style w:type="character" w:customStyle="1" w:styleId="BalloonTextChar">
    <w:name w:val="Balloon Text Char"/>
    <w:basedOn w:val="DefaultParagraphFont"/>
    <w:link w:val="BalloonText"/>
    <w:uiPriority w:val="99"/>
    <w:semiHidden/>
    <w:rsid w:val="0032440E"/>
    <w:rPr>
      <w:rFonts w:ascii="Tahoma" w:eastAsia="Times New Roman" w:hAnsi="Tahoma" w:cs="Tahoma"/>
      <w:sz w:val="16"/>
      <w:szCs w:val="16"/>
    </w:rPr>
  </w:style>
  <w:style w:type="paragraph" w:styleId="Title">
    <w:name w:val="Title"/>
    <w:basedOn w:val="Normal"/>
    <w:link w:val="TitleChar"/>
    <w:qFormat/>
    <w:rsid w:val="0032440E"/>
    <w:pPr>
      <w:jc w:val="center"/>
    </w:pPr>
    <w:rPr>
      <w:b/>
      <w:bCs/>
      <w:sz w:val="28"/>
    </w:rPr>
  </w:style>
  <w:style w:type="character" w:customStyle="1" w:styleId="TitleChar">
    <w:name w:val="Title Char"/>
    <w:basedOn w:val="DefaultParagraphFont"/>
    <w:link w:val="Title"/>
    <w:rsid w:val="0032440E"/>
    <w:rPr>
      <w:rFonts w:ascii="Arial" w:eastAsia="Times New Roman" w:hAnsi="Arial" w:cs="Times New Roman"/>
      <w:b/>
      <w:bCs/>
      <w:sz w:val="28"/>
      <w:szCs w:val="24"/>
    </w:rPr>
  </w:style>
  <w:style w:type="character" w:customStyle="1" w:styleId="Heading1Char">
    <w:name w:val="Heading 1 Char"/>
    <w:basedOn w:val="DefaultParagraphFont"/>
    <w:link w:val="Heading1"/>
    <w:rsid w:val="00626017"/>
    <w:rPr>
      <w:rFonts w:ascii="Arial" w:eastAsia="Times New Roman" w:hAnsi="Arial" w:cs="Times New Roman"/>
      <w:b/>
      <w:bCs/>
      <w:szCs w:val="24"/>
    </w:rPr>
  </w:style>
  <w:style w:type="paragraph" w:styleId="Header">
    <w:name w:val="header"/>
    <w:basedOn w:val="Normal"/>
    <w:link w:val="HeaderChar"/>
    <w:uiPriority w:val="99"/>
    <w:semiHidden/>
    <w:unhideWhenUsed/>
    <w:rsid w:val="00626017"/>
    <w:pPr>
      <w:tabs>
        <w:tab w:val="center" w:pos="4680"/>
        <w:tab w:val="right" w:pos="9360"/>
      </w:tabs>
    </w:pPr>
  </w:style>
  <w:style w:type="character" w:customStyle="1" w:styleId="HeaderChar">
    <w:name w:val="Header Char"/>
    <w:basedOn w:val="DefaultParagraphFont"/>
    <w:link w:val="Header"/>
    <w:uiPriority w:val="99"/>
    <w:semiHidden/>
    <w:rsid w:val="00626017"/>
    <w:rPr>
      <w:rFonts w:ascii="Arial" w:eastAsia="Times New Roman" w:hAnsi="Arial" w:cs="Times New Roman"/>
      <w:szCs w:val="24"/>
    </w:rPr>
  </w:style>
  <w:style w:type="paragraph" w:styleId="Footer">
    <w:name w:val="footer"/>
    <w:basedOn w:val="Normal"/>
    <w:link w:val="FooterChar"/>
    <w:uiPriority w:val="99"/>
    <w:unhideWhenUsed/>
    <w:rsid w:val="00626017"/>
    <w:pPr>
      <w:tabs>
        <w:tab w:val="center" w:pos="4680"/>
        <w:tab w:val="right" w:pos="9360"/>
      </w:tabs>
    </w:pPr>
  </w:style>
  <w:style w:type="character" w:customStyle="1" w:styleId="FooterChar">
    <w:name w:val="Footer Char"/>
    <w:basedOn w:val="DefaultParagraphFont"/>
    <w:link w:val="Footer"/>
    <w:uiPriority w:val="99"/>
    <w:rsid w:val="00626017"/>
    <w:rPr>
      <w:rFonts w:ascii="Arial" w:eastAsia="Times New Roman" w:hAnsi="Arial" w:cs="Times New Roman"/>
      <w:szCs w:val="24"/>
    </w:rPr>
  </w:style>
  <w:style w:type="paragraph" w:styleId="TOCHeading">
    <w:name w:val="TOC Heading"/>
    <w:basedOn w:val="Heading1"/>
    <w:next w:val="Normal"/>
    <w:uiPriority w:val="39"/>
    <w:qFormat/>
    <w:rsid w:val="00704BD4"/>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04BD4"/>
  </w:style>
  <w:style w:type="character" w:styleId="Hyperlink">
    <w:name w:val="Hyperlink"/>
    <w:basedOn w:val="DefaultParagraphFont"/>
    <w:uiPriority w:val="99"/>
    <w:unhideWhenUsed/>
    <w:rsid w:val="00704BD4"/>
    <w:rPr>
      <w:color w:val="0000FF"/>
      <w:u w:val="single"/>
    </w:rPr>
  </w:style>
  <w:style w:type="character" w:customStyle="1" w:styleId="Heading3Char">
    <w:name w:val="Heading 3 Char"/>
    <w:basedOn w:val="DefaultParagraphFont"/>
    <w:link w:val="Heading3"/>
    <w:uiPriority w:val="9"/>
    <w:semiHidden/>
    <w:rsid w:val="00272D11"/>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272D11"/>
    <w:pPr>
      <w:numPr>
        <w:numId w:val="12"/>
      </w:numPr>
      <w:spacing w:after="120"/>
      <w:ind w:right="72"/>
    </w:pPr>
    <w:rPr>
      <w:sz w:val="20"/>
    </w:rPr>
  </w:style>
  <w:style w:type="character" w:customStyle="1" w:styleId="BodyTextChar">
    <w:name w:val="Body Text Char"/>
    <w:basedOn w:val="DefaultParagraphFont"/>
    <w:link w:val="BodyText"/>
    <w:rsid w:val="00272D11"/>
    <w:rPr>
      <w:rFonts w:ascii="Arial" w:eastAsia="Times New Roman" w:hAnsi="Arial"/>
      <w:szCs w:val="24"/>
    </w:rPr>
  </w:style>
  <w:style w:type="paragraph" w:styleId="NormalWeb">
    <w:name w:val="Normal (Web)"/>
    <w:basedOn w:val="Normal"/>
    <w:rsid w:val="00272D11"/>
    <w:pPr>
      <w:spacing w:before="100" w:beforeAutospacing="1" w:after="100" w:afterAutospacing="1"/>
    </w:pPr>
    <w:rPr>
      <w:rFonts w:ascii="Times New Roman" w:hAnsi="Times New Roman"/>
      <w:color w:val="000000"/>
      <w:sz w:val="24"/>
    </w:rPr>
  </w:style>
  <w:style w:type="paragraph" w:styleId="TOC3">
    <w:name w:val="toc 3"/>
    <w:basedOn w:val="Normal"/>
    <w:next w:val="Normal"/>
    <w:autoRedefine/>
    <w:uiPriority w:val="39"/>
    <w:unhideWhenUsed/>
    <w:rsid w:val="005835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8438-67A4-4CA2-81AA-1759D48FFC07}"/>
</file>

<file path=customXml/itemProps2.xml><?xml version="1.0" encoding="utf-8"?>
<ds:datastoreItem xmlns:ds="http://schemas.openxmlformats.org/officeDocument/2006/customXml" ds:itemID="{B542A114-6776-49E1-8DB2-D1EA47958D38}"/>
</file>

<file path=customXml/itemProps3.xml><?xml version="1.0" encoding="utf-8"?>
<ds:datastoreItem xmlns:ds="http://schemas.openxmlformats.org/officeDocument/2006/customXml" ds:itemID="{1F1589ED-F949-4E98-862D-BF5166E5B354}"/>
</file>

<file path=customXml/itemProps4.xml><?xml version="1.0" encoding="utf-8"?>
<ds:datastoreItem xmlns:ds="http://schemas.openxmlformats.org/officeDocument/2006/customXml" ds:itemID="{13CBC4FB-1739-42DC-A36B-E1A1AA478748}"/>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HIRE- PA40</vt:lpstr>
    </vt:vector>
  </TitlesOfParts>
  <Company>Commonwealth of PA</Company>
  <LinksUpToDate>false</LinksUpToDate>
  <CharactersWithSpaces>6416</CharactersWithSpaces>
  <SharedDoc>false</SharedDoc>
  <HLinks>
    <vt:vector size="180" baseType="variant">
      <vt:variant>
        <vt:i4>1769558</vt:i4>
      </vt:variant>
      <vt:variant>
        <vt:i4>177</vt:i4>
      </vt:variant>
      <vt:variant>
        <vt:i4>0</vt:i4>
      </vt:variant>
      <vt:variant>
        <vt:i4>5</vt:i4>
      </vt:variant>
      <vt:variant>
        <vt:lpwstr>https://ctcoas02.state.pa.us/agcy/login.html?sersSPNav=|</vt:lpwstr>
      </vt:variant>
      <vt:variant>
        <vt:lpwstr>6312</vt:lpwstr>
      </vt:variant>
      <vt:variant>
        <vt:i4>1245234</vt:i4>
      </vt:variant>
      <vt:variant>
        <vt:i4>170</vt:i4>
      </vt:variant>
      <vt:variant>
        <vt:i4>0</vt:i4>
      </vt:variant>
      <vt:variant>
        <vt:i4>5</vt:i4>
      </vt:variant>
      <vt:variant>
        <vt:lpwstr/>
      </vt:variant>
      <vt:variant>
        <vt:lpwstr>_Toc292178540</vt:lpwstr>
      </vt:variant>
      <vt:variant>
        <vt:i4>1310770</vt:i4>
      </vt:variant>
      <vt:variant>
        <vt:i4>164</vt:i4>
      </vt:variant>
      <vt:variant>
        <vt:i4>0</vt:i4>
      </vt:variant>
      <vt:variant>
        <vt:i4>5</vt:i4>
      </vt:variant>
      <vt:variant>
        <vt:lpwstr/>
      </vt:variant>
      <vt:variant>
        <vt:lpwstr>_Toc292178539</vt:lpwstr>
      </vt:variant>
      <vt:variant>
        <vt:i4>1310770</vt:i4>
      </vt:variant>
      <vt:variant>
        <vt:i4>158</vt:i4>
      </vt:variant>
      <vt:variant>
        <vt:i4>0</vt:i4>
      </vt:variant>
      <vt:variant>
        <vt:i4>5</vt:i4>
      </vt:variant>
      <vt:variant>
        <vt:lpwstr/>
      </vt:variant>
      <vt:variant>
        <vt:lpwstr>_Toc292178538</vt:lpwstr>
      </vt:variant>
      <vt:variant>
        <vt:i4>1310770</vt:i4>
      </vt:variant>
      <vt:variant>
        <vt:i4>152</vt:i4>
      </vt:variant>
      <vt:variant>
        <vt:i4>0</vt:i4>
      </vt:variant>
      <vt:variant>
        <vt:i4>5</vt:i4>
      </vt:variant>
      <vt:variant>
        <vt:lpwstr/>
      </vt:variant>
      <vt:variant>
        <vt:lpwstr>_Toc292178537</vt:lpwstr>
      </vt:variant>
      <vt:variant>
        <vt:i4>1310770</vt:i4>
      </vt:variant>
      <vt:variant>
        <vt:i4>146</vt:i4>
      </vt:variant>
      <vt:variant>
        <vt:i4>0</vt:i4>
      </vt:variant>
      <vt:variant>
        <vt:i4>5</vt:i4>
      </vt:variant>
      <vt:variant>
        <vt:lpwstr/>
      </vt:variant>
      <vt:variant>
        <vt:lpwstr>_Toc292178536</vt:lpwstr>
      </vt:variant>
      <vt:variant>
        <vt:i4>1310770</vt:i4>
      </vt:variant>
      <vt:variant>
        <vt:i4>140</vt:i4>
      </vt:variant>
      <vt:variant>
        <vt:i4>0</vt:i4>
      </vt:variant>
      <vt:variant>
        <vt:i4>5</vt:i4>
      </vt:variant>
      <vt:variant>
        <vt:lpwstr/>
      </vt:variant>
      <vt:variant>
        <vt:lpwstr>_Toc292178535</vt:lpwstr>
      </vt:variant>
      <vt:variant>
        <vt:i4>1310770</vt:i4>
      </vt:variant>
      <vt:variant>
        <vt:i4>134</vt:i4>
      </vt:variant>
      <vt:variant>
        <vt:i4>0</vt:i4>
      </vt:variant>
      <vt:variant>
        <vt:i4>5</vt:i4>
      </vt:variant>
      <vt:variant>
        <vt:lpwstr/>
      </vt:variant>
      <vt:variant>
        <vt:lpwstr>_Toc292178534</vt:lpwstr>
      </vt:variant>
      <vt:variant>
        <vt:i4>1310770</vt:i4>
      </vt:variant>
      <vt:variant>
        <vt:i4>128</vt:i4>
      </vt:variant>
      <vt:variant>
        <vt:i4>0</vt:i4>
      </vt:variant>
      <vt:variant>
        <vt:i4>5</vt:i4>
      </vt:variant>
      <vt:variant>
        <vt:lpwstr/>
      </vt:variant>
      <vt:variant>
        <vt:lpwstr>_Toc292178533</vt:lpwstr>
      </vt:variant>
      <vt:variant>
        <vt:i4>1310770</vt:i4>
      </vt:variant>
      <vt:variant>
        <vt:i4>122</vt:i4>
      </vt:variant>
      <vt:variant>
        <vt:i4>0</vt:i4>
      </vt:variant>
      <vt:variant>
        <vt:i4>5</vt:i4>
      </vt:variant>
      <vt:variant>
        <vt:lpwstr/>
      </vt:variant>
      <vt:variant>
        <vt:lpwstr>_Toc292178532</vt:lpwstr>
      </vt:variant>
      <vt:variant>
        <vt:i4>1310770</vt:i4>
      </vt:variant>
      <vt:variant>
        <vt:i4>116</vt:i4>
      </vt:variant>
      <vt:variant>
        <vt:i4>0</vt:i4>
      </vt:variant>
      <vt:variant>
        <vt:i4>5</vt:i4>
      </vt:variant>
      <vt:variant>
        <vt:lpwstr/>
      </vt:variant>
      <vt:variant>
        <vt:lpwstr>_Toc292178531</vt:lpwstr>
      </vt:variant>
      <vt:variant>
        <vt:i4>1310770</vt:i4>
      </vt:variant>
      <vt:variant>
        <vt:i4>110</vt:i4>
      </vt:variant>
      <vt:variant>
        <vt:i4>0</vt:i4>
      </vt:variant>
      <vt:variant>
        <vt:i4>5</vt:i4>
      </vt:variant>
      <vt:variant>
        <vt:lpwstr/>
      </vt:variant>
      <vt:variant>
        <vt:lpwstr>_Toc292178530</vt:lpwstr>
      </vt:variant>
      <vt:variant>
        <vt:i4>1376306</vt:i4>
      </vt:variant>
      <vt:variant>
        <vt:i4>104</vt:i4>
      </vt:variant>
      <vt:variant>
        <vt:i4>0</vt:i4>
      </vt:variant>
      <vt:variant>
        <vt:i4>5</vt:i4>
      </vt:variant>
      <vt:variant>
        <vt:lpwstr/>
      </vt:variant>
      <vt:variant>
        <vt:lpwstr>_Toc292178529</vt:lpwstr>
      </vt:variant>
      <vt:variant>
        <vt:i4>1376306</vt:i4>
      </vt:variant>
      <vt:variant>
        <vt:i4>98</vt:i4>
      </vt:variant>
      <vt:variant>
        <vt:i4>0</vt:i4>
      </vt:variant>
      <vt:variant>
        <vt:i4>5</vt:i4>
      </vt:variant>
      <vt:variant>
        <vt:lpwstr/>
      </vt:variant>
      <vt:variant>
        <vt:lpwstr>_Toc292178528</vt:lpwstr>
      </vt:variant>
      <vt:variant>
        <vt:i4>1376306</vt:i4>
      </vt:variant>
      <vt:variant>
        <vt:i4>92</vt:i4>
      </vt:variant>
      <vt:variant>
        <vt:i4>0</vt:i4>
      </vt:variant>
      <vt:variant>
        <vt:i4>5</vt:i4>
      </vt:variant>
      <vt:variant>
        <vt:lpwstr/>
      </vt:variant>
      <vt:variant>
        <vt:lpwstr>_Toc292178527</vt:lpwstr>
      </vt:variant>
      <vt:variant>
        <vt:i4>1376306</vt:i4>
      </vt:variant>
      <vt:variant>
        <vt:i4>86</vt:i4>
      </vt:variant>
      <vt:variant>
        <vt:i4>0</vt:i4>
      </vt:variant>
      <vt:variant>
        <vt:i4>5</vt:i4>
      </vt:variant>
      <vt:variant>
        <vt:lpwstr/>
      </vt:variant>
      <vt:variant>
        <vt:lpwstr>_Toc292178526</vt:lpwstr>
      </vt:variant>
      <vt:variant>
        <vt:i4>1376306</vt:i4>
      </vt:variant>
      <vt:variant>
        <vt:i4>80</vt:i4>
      </vt:variant>
      <vt:variant>
        <vt:i4>0</vt:i4>
      </vt:variant>
      <vt:variant>
        <vt:i4>5</vt:i4>
      </vt:variant>
      <vt:variant>
        <vt:lpwstr/>
      </vt:variant>
      <vt:variant>
        <vt:lpwstr>_Toc292178525</vt:lpwstr>
      </vt:variant>
      <vt:variant>
        <vt:i4>1376306</vt:i4>
      </vt:variant>
      <vt:variant>
        <vt:i4>74</vt:i4>
      </vt:variant>
      <vt:variant>
        <vt:i4>0</vt:i4>
      </vt:variant>
      <vt:variant>
        <vt:i4>5</vt:i4>
      </vt:variant>
      <vt:variant>
        <vt:lpwstr/>
      </vt:variant>
      <vt:variant>
        <vt:lpwstr>_Toc292178524</vt:lpwstr>
      </vt:variant>
      <vt:variant>
        <vt:i4>1376306</vt:i4>
      </vt:variant>
      <vt:variant>
        <vt:i4>68</vt:i4>
      </vt:variant>
      <vt:variant>
        <vt:i4>0</vt:i4>
      </vt:variant>
      <vt:variant>
        <vt:i4>5</vt:i4>
      </vt:variant>
      <vt:variant>
        <vt:lpwstr/>
      </vt:variant>
      <vt:variant>
        <vt:lpwstr>_Toc292178523</vt:lpwstr>
      </vt:variant>
      <vt:variant>
        <vt:i4>1376306</vt:i4>
      </vt:variant>
      <vt:variant>
        <vt:i4>62</vt:i4>
      </vt:variant>
      <vt:variant>
        <vt:i4>0</vt:i4>
      </vt:variant>
      <vt:variant>
        <vt:i4>5</vt:i4>
      </vt:variant>
      <vt:variant>
        <vt:lpwstr/>
      </vt:variant>
      <vt:variant>
        <vt:lpwstr>_Toc292178522</vt:lpwstr>
      </vt:variant>
      <vt:variant>
        <vt:i4>1376306</vt:i4>
      </vt:variant>
      <vt:variant>
        <vt:i4>56</vt:i4>
      </vt:variant>
      <vt:variant>
        <vt:i4>0</vt:i4>
      </vt:variant>
      <vt:variant>
        <vt:i4>5</vt:i4>
      </vt:variant>
      <vt:variant>
        <vt:lpwstr/>
      </vt:variant>
      <vt:variant>
        <vt:lpwstr>_Toc292178521</vt:lpwstr>
      </vt:variant>
      <vt:variant>
        <vt:i4>1376306</vt:i4>
      </vt:variant>
      <vt:variant>
        <vt:i4>50</vt:i4>
      </vt:variant>
      <vt:variant>
        <vt:i4>0</vt:i4>
      </vt:variant>
      <vt:variant>
        <vt:i4>5</vt:i4>
      </vt:variant>
      <vt:variant>
        <vt:lpwstr/>
      </vt:variant>
      <vt:variant>
        <vt:lpwstr>_Toc292178520</vt:lpwstr>
      </vt:variant>
      <vt:variant>
        <vt:i4>1441842</vt:i4>
      </vt:variant>
      <vt:variant>
        <vt:i4>44</vt:i4>
      </vt:variant>
      <vt:variant>
        <vt:i4>0</vt:i4>
      </vt:variant>
      <vt:variant>
        <vt:i4>5</vt:i4>
      </vt:variant>
      <vt:variant>
        <vt:lpwstr/>
      </vt:variant>
      <vt:variant>
        <vt:lpwstr>_Toc292178519</vt:lpwstr>
      </vt:variant>
      <vt:variant>
        <vt:i4>1441842</vt:i4>
      </vt:variant>
      <vt:variant>
        <vt:i4>38</vt:i4>
      </vt:variant>
      <vt:variant>
        <vt:i4>0</vt:i4>
      </vt:variant>
      <vt:variant>
        <vt:i4>5</vt:i4>
      </vt:variant>
      <vt:variant>
        <vt:lpwstr/>
      </vt:variant>
      <vt:variant>
        <vt:lpwstr>_Toc292178518</vt:lpwstr>
      </vt:variant>
      <vt:variant>
        <vt:i4>1441842</vt:i4>
      </vt:variant>
      <vt:variant>
        <vt:i4>32</vt:i4>
      </vt:variant>
      <vt:variant>
        <vt:i4>0</vt:i4>
      </vt:variant>
      <vt:variant>
        <vt:i4>5</vt:i4>
      </vt:variant>
      <vt:variant>
        <vt:lpwstr/>
      </vt:variant>
      <vt:variant>
        <vt:lpwstr>_Toc292178517</vt:lpwstr>
      </vt:variant>
      <vt:variant>
        <vt:i4>1441842</vt:i4>
      </vt:variant>
      <vt:variant>
        <vt:i4>26</vt:i4>
      </vt:variant>
      <vt:variant>
        <vt:i4>0</vt:i4>
      </vt:variant>
      <vt:variant>
        <vt:i4>5</vt:i4>
      </vt:variant>
      <vt:variant>
        <vt:lpwstr/>
      </vt:variant>
      <vt:variant>
        <vt:lpwstr>_Toc292178516</vt:lpwstr>
      </vt:variant>
      <vt:variant>
        <vt:i4>1441842</vt:i4>
      </vt:variant>
      <vt:variant>
        <vt:i4>20</vt:i4>
      </vt:variant>
      <vt:variant>
        <vt:i4>0</vt:i4>
      </vt:variant>
      <vt:variant>
        <vt:i4>5</vt:i4>
      </vt:variant>
      <vt:variant>
        <vt:lpwstr/>
      </vt:variant>
      <vt:variant>
        <vt:lpwstr>_Toc292178515</vt:lpwstr>
      </vt:variant>
      <vt:variant>
        <vt:i4>1441842</vt:i4>
      </vt:variant>
      <vt:variant>
        <vt:i4>14</vt:i4>
      </vt:variant>
      <vt:variant>
        <vt:i4>0</vt:i4>
      </vt:variant>
      <vt:variant>
        <vt:i4>5</vt:i4>
      </vt:variant>
      <vt:variant>
        <vt:lpwstr/>
      </vt:variant>
      <vt:variant>
        <vt:lpwstr>_Toc292178514</vt:lpwstr>
      </vt:variant>
      <vt:variant>
        <vt:i4>1441842</vt:i4>
      </vt:variant>
      <vt:variant>
        <vt:i4>8</vt:i4>
      </vt:variant>
      <vt:variant>
        <vt:i4>0</vt:i4>
      </vt:variant>
      <vt:variant>
        <vt:i4>5</vt:i4>
      </vt:variant>
      <vt:variant>
        <vt:lpwstr/>
      </vt:variant>
      <vt:variant>
        <vt:lpwstr>_Toc292178513</vt:lpwstr>
      </vt:variant>
      <vt:variant>
        <vt:i4>1441842</vt:i4>
      </vt:variant>
      <vt:variant>
        <vt:i4>2</vt:i4>
      </vt:variant>
      <vt:variant>
        <vt:i4>0</vt:i4>
      </vt:variant>
      <vt:variant>
        <vt:i4>5</vt:i4>
      </vt:variant>
      <vt:variant>
        <vt:lpwstr/>
      </vt:variant>
      <vt:variant>
        <vt:lpwstr>_Toc292178512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PA40</dc:title>
  <dc:creator>nthurstin</dc:creator>
  <cp:lastModifiedBy>lgalic</cp:lastModifiedBy>
  <cp:revision>2</cp:revision>
  <cp:lastPrinted>2011-05-09T14:06:00Z</cp:lastPrinted>
  <dcterms:created xsi:type="dcterms:W3CDTF">2016-06-23T18:55:00Z</dcterms:created>
  <dcterms:modified xsi:type="dcterms:W3CDTF">2016-06-23T18:55:00Z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TaxKeyword">
    <vt:lpwstr/>
  </property>
  <property fmtid="{D5CDD505-2E9C-101B-9397-08002B2CF9AE}" pid="4" name="Order">
    <vt:r8>25900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