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4D" w:rsidRDefault="00691F4D" w:rsidP="00691F4D">
      <w:pPr>
        <w:pStyle w:val="DefaultText"/>
      </w:pPr>
      <w:bookmarkStart w:id="0" w:name="_GoBack"/>
      <w:bookmarkEnd w:id="0"/>
    </w:p>
    <w:p w:rsidR="00207157" w:rsidRDefault="00E97AFE" w:rsidP="00C15A72">
      <w:pPr>
        <w:rPr>
          <w:b/>
          <w:bCs/>
          <w:u w:val="single"/>
        </w:rPr>
      </w:pPr>
      <w:r>
        <w:rPr>
          <w:b/>
          <w:bCs/>
          <w:u w:val="single"/>
        </w:rPr>
        <w:t>P. 1</w:t>
      </w:r>
      <w:r w:rsidR="00575292">
        <w:rPr>
          <w:b/>
          <w:bCs/>
          <w:u w:val="single"/>
        </w:rPr>
        <w:t>2</w:t>
      </w:r>
      <w:r>
        <w:rPr>
          <w:b/>
          <w:bCs/>
          <w:u w:val="single"/>
        </w:rPr>
        <w:t>.</w:t>
      </w:r>
      <w:r w:rsidR="00691F4D" w:rsidRPr="00003F0F">
        <w:rPr>
          <w:b/>
          <w:bCs/>
          <w:u w:val="single"/>
        </w:rPr>
        <w:t xml:space="preserve">Other </w:t>
      </w:r>
      <w:r w:rsidR="00207157">
        <w:rPr>
          <w:b/>
          <w:bCs/>
          <w:u w:val="single"/>
        </w:rPr>
        <w:t>Protocols:</w:t>
      </w:r>
    </w:p>
    <w:p w:rsidR="00287059" w:rsidRDefault="00287059" w:rsidP="00C15A72">
      <w:pPr>
        <w:rPr>
          <w:b/>
          <w:bCs/>
          <w:u w:val="single"/>
        </w:rPr>
      </w:pPr>
    </w:p>
    <w:p w:rsidR="00287059" w:rsidRDefault="008812EA" w:rsidP="008812EA">
      <w:pPr>
        <w:numPr>
          <w:ilvl w:val="0"/>
          <w:numId w:val="18"/>
        </w:numPr>
        <w:rPr>
          <w:bCs/>
        </w:rPr>
      </w:pPr>
      <w:r w:rsidRPr="008812EA">
        <w:rPr>
          <w:bCs/>
          <w:u w:val="single"/>
        </w:rPr>
        <w:t>Purpose:</w:t>
      </w:r>
      <w:r>
        <w:rPr>
          <w:bCs/>
        </w:rPr>
        <w:t xml:space="preserve">  </w:t>
      </w:r>
      <w:r w:rsidR="00A06E26">
        <w:rPr>
          <w:bCs/>
        </w:rPr>
        <w:t>The purpose of this program element is to establish a</w:t>
      </w:r>
      <w:r w:rsidR="00207157">
        <w:rPr>
          <w:bCs/>
        </w:rPr>
        <w:t>dditional protocols or standard operating procedures determined to be necessary for the protection of employees from injury and illness</w:t>
      </w:r>
      <w:r w:rsidR="00602EF1">
        <w:rPr>
          <w:bCs/>
        </w:rPr>
        <w:t xml:space="preserve">.  The need for the additional protocols is </w:t>
      </w:r>
      <w:r w:rsidR="00207157">
        <w:rPr>
          <w:bCs/>
        </w:rPr>
        <w:t>based on the type(s) of operation(s), workplace, and work environments.</w:t>
      </w:r>
    </w:p>
    <w:p w:rsidR="00287059" w:rsidRDefault="00287059" w:rsidP="00C15A72">
      <w:pPr>
        <w:rPr>
          <w:bCs/>
        </w:rPr>
      </w:pPr>
    </w:p>
    <w:p w:rsidR="00E97AFE" w:rsidRPr="00207157" w:rsidRDefault="008812EA" w:rsidP="008812EA">
      <w:pPr>
        <w:numPr>
          <w:ilvl w:val="0"/>
          <w:numId w:val="13"/>
        </w:numPr>
        <w:rPr>
          <w:bCs/>
        </w:rPr>
      </w:pPr>
      <w:r w:rsidRPr="008812EA">
        <w:rPr>
          <w:bCs/>
          <w:u w:val="single"/>
        </w:rPr>
        <w:t>Introduction:</w:t>
      </w:r>
      <w:r>
        <w:rPr>
          <w:bCs/>
        </w:rPr>
        <w:t xml:space="preserve">  </w:t>
      </w:r>
      <w:r w:rsidR="00207157">
        <w:rPr>
          <w:bCs/>
        </w:rPr>
        <w:t>Agenc</w:t>
      </w:r>
      <w:r w:rsidR="008902BE">
        <w:rPr>
          <w:bCs/>
        </w:rPr>
        <w:t>ies</w:t>
      </w:r>
      <w:r w:rsidR="00207157">
        <w:rPr>
          <w:bCs/>
        </w:rPr>
        <w:t xml:space="preserve"> must address all identified</w:t>
      </w:r>
      <w:r w:rsidR="00CC1B25">
        <w:rPr>
          <w:bCs/>
        </w:rPr>
        <w:t xml:space="preserve"> </w:t>
      </w:r>
      <w:r w:rsidR="00602EF1">
        <w:rPr>
          <w:bCs/>
        </w:rPr>
        <w:t xml:space="preserve">potential </w:t>
      </w:r>
      <w:r w:rsidR="00207157">
        <w:rPr>
          <w:bCs/>
        </w:rPr>
        <w:t>hazards by developing programs specific to their workplace</w:t>
      </w:r>
      <w:r w:rsidR="00A06E26">
        <w:rPr>
          <w:bCs/>
        </w:rPr>
        <w:t xml:space="preserve">.  </w:t>
      </w:r>
      <w:r w:rsidR="00207157">
        <w:rPr>
          <w:bCs/>
        </w:rPr>
        <w:t>Hazards and</w:t>
      </w:r>
      <w:r w:rsidR="00CC1B25">
        <w:rPr>
          <w:bCs/>
        </w:rPr>
        <w:t>/or</w:t>
      </w:r>
      <w:r w:rsidR="00207157">
        <w:rPr>
          <w:bCs/>
        </w:rPr>
        <w:t xml:space="preserve"> program</w:t>
      </w:r>
      <w:r w:rsidR="00287059">
        <w:rPr>
          <w:bCs/>
        </w:rPr>
        <w:t xml:space="preserve"> elements</w:t>
      </w:r>
      <w:r w:rsidR="008902BE">
        <w:rPr>
          <w:bCs/>
        </w:rPr>
        <w:t xml:space="preserve"> that are</w:t>
      </w:r>
      <w:r w:rsidR="00287059">
        <w:rPr>
          <w:bCs/>
        </w:rPr>
        <w:t xml:space="preserve"> </w:t>
      </w:r>
      <w:r w:rsidR="00207157">
        <w:rPr>
          <w:bCs/>
        </w:rPr>
        <w:t xml:space="preserve">not </w:t>
      </w:r>
      <w:r w:rsidR="00207157">
        <w:t xml:space="preserve">specifically listed </w:t>
      </w:r>
      <w:r w:rsidR="00691F4D">
        <w:t xml:space="preserve">in section P </w:t>
      </w:r>
      <w:r w:rsidR="00207157">
        <w:t>of the requ</w:t>
      </w:r>
      <w:r w:rsidR="00287059">
        <w:t>irement guide but</w:t>
      </w:r>
      <w:r w:rsidR="00CC1B25">
        <w:t xml:space="preserve"> which</w:t>
      </w:r>
      <w:r w:rsidR="00287059">
        <w:t xml:space="preserve"> are recognized and identified by the agency</w:t>
      </w:r>
      <w:r w:rsidR="00CC1B25">
        <w:t xml:space="preserve"> require appropriate review and response</w:t>
      </w:r>
      <w:r>
        <w:t xml:space="preserve">.  The identified program areas </w:t>
      </w:r>
      <w:r w:rsidR="00287059">
        <w:t>must be a</w:t>
      </w:r>
      <w:r>
        <w:t xml:space="preserve">ddressed according to the degree of </w:t>
      </w:r>
      <w:r w:rsidR="00287059">
        <w:t>hazard</w:t>
      </w:r>
      <w:r>
        <w:t xml:space="preserve"> and needs of the agency.</w:t>
      </w:r>
    </w:p>
    <w:p w:rsidR="00207157" w:rsidRDefault="00207157" w:rsidP="00C15A72"/>
    <w:p w:rsidR="008812EA" w:rsidRPr="008812EA" w:rsidRDefault="008812EA" w:rsidP="008812EA">
      <w:pPr>
        <w:numPr>
          <w:ilvl w:val="1"/>
          <w:numId w:val="13"/>
        </w:numPr>
        <w:rPr>
          <w:u w:val="single"/>
        </w:rPr>
      </w:pPr>
      <w:r w:rsidRPr="008812EA">
        <w:rPr>
          <w:u w:val="single"/>
        </w:rPr>
        <w:t>Program Areas:</w:t>
      </w:r>
      <w:r>
        <w:t xml:space="preserve">  Identified hazards must be addressed in the same manner as the specified P elements with a hazard assessment, written procedures, training</w:t>
      </w:r>
      <w:r w:rsidR="00C77C83">
        <w:t>, and program evaluation</w:t>
      </w:r>
      <w:r>
        <w:t>.  Additional program areas that may need to be addressed include, but are not limited to, the following:</w:t>
      </w:r>
    </w:p>
    <w:p w:rsidR="008812EA" w:rsidRDefault="008812EA" w:rsidP="00C15A72"/>
    <w:p w:rsidR="00207157" w:rsidRDefault="00207157" w:rsidP="008812EA">
      <w:pPr>
        <w:pStyle w:val="BodyTextIndent"/>
        <w:numPr>
          <w:ilvl w:val="0"/>
          <w:numId w:val="12"/>
        </w:numPr>
        <w:spacing w:before="0" w:beforeAutospacing="0" w:after="0" w:afterAutospacing="0"/>
      </w:pPr>
      <w:r>
        <w:rPr>
          <w:b/>
          <w:bCs/>
        </w:rPr>
        <w:t>Fall Protection Program:</w:t>
      </w:r>
      <w:r>
        <w:t xml:space="preserve">  A written program for the identification and control of fall hazards in the work area.  </w:t>
      </w:r>
      <w:r w:rsidR="00A06E26">
        <w:t>The p</w:t>
      </w:r>
      <w:r>
        <w:t>rogram should include the methods of fall arrest (catch a person if falling) or restraint (prevent a person from falling); procedures for assembly, maintenance, inspection, and disassembly of the fall protection system to be used; description of the correct procedures for handling, storing, and securing tools and materials; description of the method of providing overhead protection for workers, students, or visitors who may be in or pass through the work area; and a description of the method of prompt, safe removal of injured workers.</w:t>
      </w:r>
    </w:p>
    <w:p w:rsidR="00207157" w:rsidRDefault="00207157" w:rsidP="00207157">
      <w:pPr>
        <w:pStyle w:val="BodyTextIndent"/>
        <w:spacing w:before="0" w:beforeAutospacing="0" w:after="0" w:afterAutospacing="0"/>
        <w:ind w:left="0"/>
      </w:pPr>
      <w:r>
        <w:t xml:space="preserve"> </w:t>
      </w:r>
    </w:p>
    <w:p w:rsidR="00207157" w:rsidRDefault="00207157" w:rsidP="00207157">
      <w:pPr>
        <w:numPr>
          <w:ilvl w:val="0"/>
          <w:numId w:val="12"/>
        </w:numPr>
      </w:pPr>
      <w:r>
        <w:rPr>
          <w:b/>
          <w:bCs/>
        </w:rPr>
        <w:t>Walking and Working Surfaces</w:t>
      </w:r>
      <w:r>
        <w:t>: A written program outlining the requirements for safe walkways and working surfaces including: housekeeping, storage, and obstruction prevention for stairways, platforms, aisles, floors and other surfaces.</w:t>
      </w:r>
    </w:p>
    <w:p w:rsidR="00207157" w:rsidRDefault="00207157" w:rsidP="00207157"/>
    <w:p w:rsidR="00207157" w:rsidRDefault="00207157" w:rsidP="00207157">
      <w:pPr>
        <w:numPr>
          <w:ilvl w:val="0"/>
          <w:numId w:val="12"/>
        </w:numPr>
      </w:pPr>
      <w:r>
        <w:rPr>
          <w:b/>
          <w:bCs/>
        </w:rPr>
        <w:t xml:space="preserve">Scaffolding:  </w:t>
      </w:r>
      <w:r>
        <w:t>A written program outlining the requirements for scaffold use.  Program elements may include erecting and dismantling scaffolds, climbing safety, fall protection, weight restrictions, qualified person, inspecting job site prior to erecting and daily prior to climbing, securing and decking, PPE, base plates, and jacks.</w:t>
      </w:r>
    </w:p>
    <w:p w:rsidR="00207157" w:rsidRDefault="00207157" w:rsidP="00207157"/>
    <w:p w:rsidR="00207157" w:rsidRDefault="00207157" w:rsidP="00207157">
      <w:pPr>
        <w:numPr>
          <w:ilvl w:val="0"/>
          <w:numId w:val="12"/>
        </w:numPr>
      </w:pPr>
      <w:r>
        <w:rPr>
          <w:b/>
          <w:bCs/>
        </w:rPr>
        <w:t xml:space="preserve">Powered Industrial Vehicles (i.e., Lift Trucks, etc.): </w:t>
      </w:r>
      <w:r>
        <w:t xml:space="preserve"> A written program outlining the requirement for the safe operation of power</w:t>
      </w:r>
      <w:r w:rsidR="004E0EE8">
        <w:t>ed</w:t>
      </w:r>
      <w:r>
        <w:t xml:space="preserve"> industrial vehicles including the training of qualified operators; safe loading and unloading; travel, entering and exiting of carriers; pre-trip inspection; fueling; battery charging, and unauthorized riders.</w:t>
      </w:r>
    </w:p>
    <w:p w:rsidR="00207157" w:rsidRDefault="00207157" w:rsidP="00207157"/>
    <w:p w:rsidR="00207157" w:rsidRDefault="00207157" w:rsidP="00207157">
      <w:pPr>
        <w:numPr>
          <w:ilvl w:val="0"/>
          <w:numId w:val="12"/>
        </w:numPr>
      </w:pPr>
      <w:r>
        <w:rPr>
          <w:b/>
          <w:bCs/>
        </w:rPr>
        <w:t xml:space="preserve">Excavation/Trench Safety:  </w:t>
      </w:r>
      <w:r>
        <w:t xml:space="preserve">A written program to address the requirements </w:t>
      </w:r>
      <w:r w:rsidR="004E0EE8">
        <w:t>for s</w:t>
      </w:r>
      <w:r>
        <w:t>afe methods of trenching and excavation operations to include pre-operation planning, utilities check, shoring, sloping, safety equipment needed, soil types and soil testing.</w:t>
      </w:r>
    </w:p>
    <w:p w:rsidR="00207157" w:rsidRPr="002F2F82" w:rsidRDefault="00207157" w:rsidP="00207157"/>
    <w:p w:rsidR="00207157" w:rsidRDefault="00207157" w:rsidP="00207157">
      <w:pPr>
        <w:numPr>
          <w:ilvl w:val="0"/>
          <w:numId w:val="12"/>
        </w:numPr>
      </w:pPr>
      <w:r w:rsidRPr="002F2F82">
        <w:rPr>
          <w:b/>
          <w:bCs/>
        </w:rPr>
        <w:t>Asbestos:</w:t>
      </w:r>
      <w:r w:rsidRPr="002F2F82">
        <w:t xml:space="preserve">  A written program </w:t>
      </w:r>
      <w:r w:rsidR="002F2F82" w:rsidRPr="002F2F82">
        <w:t xml:space="preserve">including procedures for the inspection, maintenance, and removal of </w:t>
      </w:r>
      <w:r w:rsidRPr="002F2F82">
        <w:t xml:space="preserve">asbestos-containing materials to ensure the health and safety of employees and visitors.  </w:t>
      </w:r>
      <w:r w:rsidR="004E0EE8" w:rsidRPr="002F2F82">
        <w:t>The p</w:t>
      </w:r>
      <w:r w:rsidRPr="002F2F82">
        <w:t>rogram should include procedures to address an occasion where damage to an asbestos</w:t>
      </w:r>
      <w:r>
        <w:t>-containing material is noted. If a possible fiber release has occurred, procedures to repair the damage, clean the area, and monitor the air quality should be identified. Temporary evacuation of the affected area may be required to ensure continued safety. Awareness training for all maintenance staff. Licensing of workers and notification to regulators.</w:t>
      </w:r>
    </w:p>
    <w:p w:rsidR="00207157" w:rsidRDefault="00207157" w:rsidP="00207157"/>
    <w:p w:rsidR="00207157" w:rsidRDefault="00207157" w:rsidP="00207157">
      <w:pPr>
        <w:numPr>
          <w:ilvl w:val="0"/>
          <w:numId w:val="12"/>
        </w:numPr>
      </w:pPr>
      <w:r>
        <w:rPr>
          <w:b/>
          <w:bCs/>
        </w:rPr>
        <w:t>Lead:</w:t>
      </w:r>
      <w:r>
        <w:t xml:space="preserve">  A written program that includes training, exposure monitoring, personal protective equipment, respiratory protection, medical surveillance, and signage. Program elements should contain, where applicable, demolition or salvage of structures where lead or materials containing lead are present; removal or encapsulation of materials containing lead; new construction, alteration, repair or renovation of structures or portions of structures with materials containing lead; installation of products containing lead; lead contamination clean-up; and maintenance operations associated with the above activities. Lead programs to address potential exposures at firing ranges.</w:t>
      </w:r>
    </w:p>
    <w:p w:rsidR="00207157" w:rsidRDefault="00207157" w:rsidP="00207157">
      <w:pPr>
        <w:rPr>
          <w:b/>
          <w:bCs/>
        </w:rPr>
      </w:pPr>
    </w:p>
    <w:p w:rsidR="00207157" w:rsidRDefault="00207157" w:rsidP="00207157">
      <w:pPr>
        <w:numPr>
          <w:ilvl w:val="0"/>
          <w:numId w:val="12"/>
        </w:numPr>
      </w:pPr>
      <w:r>
        <w:rPr>
          <w:b/>
          <w:bCs/>
        </w:rPr>
        <w:t xml:space="preserve">Ergonomics:  </w:t>
      </w:r>
      <w:r>
        <w:t>A written program defining the agency’s commitment to the reduction of ergonomic risk factors and the resultant disorders thr</w:t>
      </w:r>
      <w:r w:rsidR="00CC1B25">
        <w:t>o</w:t>
      </w:r>
      <w:r>
        <w:t>u</w:t>
      </w:r>
      <w:r w:rsidR="00CC1B25">
        <w:t>gh</w:t>
      </w:r>
      <w:r>
        <w:t xml:space="preserve"> evaluation, identification of problem areas, data collection and analysis, effective controls, operational modification, training, medical management, and job specific requirements.</w:t>
      </w:r>
    </w:p>
    <w:p w:rsidR="00207157" w:rsidRDefault="00207157" w:rsidP="00207157"/>
    <w:p w:rsidR="00207157" w:rsidRPr="007A2E9E" w:rsidRDefault="00207157" w:rsidP="00207157">
      <w:pPr>
        <w:numPr>
          <w:ilvl w:val="0"/>
          <w:numId w:val="12"/>
        </w:numPr>
      </w:pPr>
      <w:r>
        <w:rPr>
          <w:b/>
          <w:bCs/>
        </w:rPr>
        <w:t xml:space="preserve">Fleet </w:t>
      </w:r>
      <w:r w:rsidR="00814CC4">
        <w:rPr>
          <w:b/>
          <w:bCs/>
        </w:rPr>
        <w:t xml:space="preserve">and Driver </w:t>
      </w:r>
      <w:r>
        <w:rPr>
          <w:b/>
          <w:bCs/>
        </w:rPr>
        <w:t xml:space="preserve">Safety:  </w:t>
      </w:r>
      <w:r>
        <w:t>A written program to include v</w:t>
      </w:r>
      <w:r>
        <w:rPr>
          <w:szCs w:val="20"/>
        </w:rPr>
        <w:t>ehicle management and safety procedures related to the hiring, authorization, training, and supervision of drivers; to the composition and maintenance of agency-owned and agency-leased vehicles; and to the maintenance of vehicle and driver records</w:t>
      </w:r>
      <w:r w:rsidR="00CC1B25">
        <w:rPr>
          <w:szCs w:val="20"/>
        </w:rPr>
        <w:t>.</w:t>
      </w:r>
    </w:p>
    <w:p w:rsidR="007A2E9E" w:rsidRDefault="007A2E9E" w:rsidP="007A2E9E"/>
    <w:p w:rsidR="007A2E9E" w:rsidRDefault="007A2E9E" w:rsidP="00207157">
      <w:pPr>
        <w:numPr>
          <w:ilvl w:val="0"/>
          <w:numId w:val="12"/>
        </w:numPr>
      </w:pPr>
      <w:r>
        <w:rPr>
          <w:b/>
          <w:bCs/>
        </w:rPr>
        <w:t>Ionizing and Non-</w:t>
      </w:r>
      <w:r w:rsidRPr="005552F1">
        <w:rPr>
          <w:b/>
          <w:bCs/>
        </w:rPr>
        <w:t>ionizing Radiation:</w:t>
      </w:r>
      <w:r w:rsidRPr="005552F1">
        <w:t xml:space="preserve"> A written program defining the agency’s approach to the control, anticipation, recognition, and evaluation of potential ionizing or non-ionizing exposures within the agency</w:t>
      </w:r>
      <w:r w:rsidR="00FB7DD2" w:rsidRPr="005552F1">
        <w:t>.  Examples of ionizing ra</w:t>
      </w:r>
      <w:r w:rsidR="00C977FA" w:rsidRPr="005552F1">
        <w:t xml:space="preserve">diation </w:t>
      </w:r>
      <w:r w:rsidR="00FB7DD2" w:rsidRPr="005552F1">
        <w:t>include</w:t>
      </w:r>
      <w:r w:rsidR="00C977FA" w:rsidRPr="005552F1">
        <w:t xml:space="preserve"> the following: </w:t>
      </w:r>
      <w:r w:rsidR="00FB7DD2" w:rsidRPr="005552F1">
        <w:rPr>
          <w:color w:val="000000"/>
        </w:rPr>
        <w:t xml:space="preserve">alpha rays, beta rays, gamma rays, X-rays, neutrons, high-speed electrons, high-speed protons, </w:t>
      </w:r>
      <w:r w:rsidR="00C977FA" w:rsidRPr="005552F1">
        <w:rPr>
          <w:color w:val="000000"/>
        </w:rPr>
        <w:t xml:space="preserve">and </w:t>
      </w:r>
      <w:r w:rsidR="00FB7DD2" w:rsidRPr="005552F1">
        <w:rPr>
          <w:color w:val="000000"/>
        </w:rPr>
        <w:t>other atomic</w:t>
      </w:r>
      <w:r w:rsidR="00C977FA" w:rsidRPr="005552F1">
        <w:rPr>
          <w:color w:val="000000"/>
        </w:rPr>
        <w:t xml:space="preserve">/radioactive </w:t>
      </w:r>
      <w:r w:rsidR="00FB7DD2" w:rsidRPr="005552F1">
        <w:rPr>
          <w:color w:val="000000"/>
        </w:rPr>
        <w:t>particles</w:t>
      </w:r>
      <w:r w:rsidR="00C977FA" w:rsidRPr="005552F1">
        <w:rPr>
          <w:color w:val="000000"/>
        </w:rPr>
        <w:t xml:space="preserve">.  </w:t>
      </w:r>
      <w:r w:rsidR="00C977FA" w:rsidRPr="005552F1">
        <w:rPr>
          <w:rStyle w:val="blueten1"/>
          <w:rFonts w:ascii="Times New Roman" w:hAnsi="Times New Roman"/>
          <w:sz w:val="24"/>
          <w:szCs w:val="24"/>
        </w:rPr>
        <w:t>Non-ionizing radiation includes the spectrum of ultraviolet (UV), visible light, infrared (IR), microwave (MW), radio frequency (RF), and extremely low frequency (ELF</w:t>
      </w:r>
      <w:r w:rsidR="005552F1" w:rsidRPr="005552F1">
        <w:rPr>
          <w:rStyle w:val="blueten1"/>
          <w:rFonts w:ascii="Times New Roman" w:hAnsi="Times New Roman"/>
          <w:sz w:val="24"/>
          <w:szCs w:val="24"/>
        </w:rPr>
        <w:t xml:space="preserve">).  </w:t>
      </w:r>
      <w:r w:rsidRPr="005552F1">
        <w:t>Program requirements would include exposure evaluation, identifying</w:t>
      </w:r>
      <w:r w:rsidR="00B26570" w:rsidRPr="005552F1">
        <w:t xml:space="preserve"> and providing</w:t>
      </w:r>
      <w:r w:rsidRPr="005552F1">
        <w:t xml:space="preserve"> necessary engineering or other controls, medical surveillance/biological monitoring, </w:t>
      </w:r>
      <w:r w:rsidR="00F77F66" w:rsidRPr="005552F1">
        <w:t xml:space="preserve">training, </w:t>
      </w:r>
      <w:r w:rsidR="00B26570" w:rsidRPr="005552F1">
        <w:t>and provision of personal protective equipment</w:t>
      </w:r>
      <w:r w:rsidR="00B26570">
        <w:t xml:space="preserve"> (PPE).</w:t>
      </w:r>
      <w:r>
        <w:t xml:space="preserve"> </w:t>
      </w:r>
    </w:p>
    <w:sectPr w:rsidR="007A2E9E" w:rsidSect="00207157">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3A1"/>
    <w:multiLevelType w:val="hybridMultilevel"/>
    <w:tmpl w:val="29CE2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376BD"/>
    <w:multiLevelType w:val="multilevel"/>
    <w:tmpl w:val="8D2C451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743F5D"/>
    <w:multiLevelType w:val="multilevel"/>
    <w:tmpl w:val="10E8191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8562CC"/>
    <w:multiLevelType w:val="multilevel"/>
    <w:tmpl w:val="10E8191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E51A34"/>
    <w:multiLevelType w:val="hybridMultilevel"/>
    <w:tmpl w:val="FF52B8F6"/>
    <w:lvl w:ilvl="0" w:tplc="1B0012CE">
      <w:start w:val="1"/>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50A28"/>
    <w:multiLevelType w:val="multilevel"/>
    <w:tmpl w:val="499C3BB0"/>
    <w:lvl w:ilvl="0">
      <w:start w:val="1"/>
      <w:numFmt w:val="upperRoman"/>
      <w:lvlText w:val="%1."/>
      <w:lvlJc w:val="right"/>
      <w:pPr>
        <w:tabs>
          <w:tab w:val="num" w:pos="144"/>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7F26C6"/>
    <w:multiLevelType w:val="multilevel"/>
    <w:tmpl w:val="865E471E"/>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255AC7"/>
    <w:multiLevelType w:val="hybridMultilevel"/>
    <w:tmpl w:val="BC3E1262"/>
    <w:lvl w:ilvl="0" w:tplc="437E9C14">
      <w:start w:val="1"/>
      <w:numFmt w:val="upperRoman"/>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B541CB"/>
    <w:multiLevelType w:val="multilevel"/>
    <w:tmpl w:val="AB1E0E64"/>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474FB0"/>
    <w:multiLevelType w:val="hybridMultilevel"/>
    <w:tmpl w:val="52DEA054"/>
    <w:lvl w:ilvl="0" w:tplc="001EC5BA">
      <w:start w:val="2"/>
      <w:numFmt w:val="upperRoman"/>
      <w:lvlText w:val="%1."/>
      <w:lvlJc w:val="right"/>
      <w:pPr>
        <w:tabs>
          <w:tab w:val="num" w:pos="504"/>
        </w:tabs>
        <w:ind w:left="504" w:hanging="144"/>
      </w:pPr>
      <w:rPr>
        <w:rFonts w:hint="default"/>
      </w:rPr>
    </w:lvl>
    <w:lvl w:ilvl="1" w:tplc="ED8829EA">
      <w:start w:val="3"/>
      <w:numFmt w:val="upperRoman"/>
      <w:lvlText w:val="%2."/>
      <w:lvlJc w:val="right"/>
      <w:pPr>
        <w:tabs>
          <w:tab w:val="num" w:pos="504"/>
        </w:tabs>
        <w:ind w:left="50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F2869"/>
    <w:multiLevelType w:val="multilevel"/>
    <w:tmpl w:val="8D2C451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1E6C02"/>
    <w:multiLevelType w:val="hybridMultilevel"/>
    <w:tmpl w:val="1B840D28"/>
    <w:lvl w:ilvl="0" w:tplc="04090001">
      <w:start w:val="1"/>
      <w:numFmt w:val="bullet"/>
      <w:lvlText w:val=""/>
      <w:lvlJc w:val="left"/>
      <w:pPr>
        <w:tabs>
          <w:tab w:val="num" w:pos="1800"/>
        </w:tabs>
        <w:ind w:left="1800" w:hanging="360"/>
      </w:pPr>
      <w:rPr>
        <w:rFonts w:ascii="Symbol" w:hAnsi="Symbol" w:hint="default"/>
      </w:rPr>
    </w:lvl>
    <w:lvl w:ilvl="1" w:tplc="C11E3100">
      <w:start w:val="1"/>
      <w:numFmt w:val="decimal"/>
      <w:lvlText w:val="%2."/>
      <w:lvlJc w:val="right"/>
      <w:pPr>
        <w:tabs>
          <w:tab w:val="num" w:pos="504"/>
        </w:tabs>
        <w:ind w:left="504" w:hanging="144"/>
      </w:pPr>
      <w:rPr>
        <w:rFonts w:hint="default"/>
      </w:rPr>
    </w:lvl>
    <w:lvl w:ilvl="2" w:tplc="0870EE66">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33A84"/>
    <w:multiLevelType w:val="multilevel"/>
    <w:tmpl w:val="73108EDC"/>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754074"/>
    <w:multiLevelType w:val="hybridMultilevel"/>
    <w:tmpl w:val="D9341CC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54476E05"/>
    <w:multiLevelType w:val="multilevel"/>
    <w:tmpl w:val="3C20024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E39684E"/>
    <w:multiLevelType w:val="multilevel"/>
    <w:tmpl w:val="0AE2E100"/>
    <w:lvl w:ilvl="0">
      <w:start w:val="1"/>
      <w:numFmt w:val="upperRoman"/>
      <w:lvlText w:val="%1."/>
      <w:lvlJc w:val="righ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67E2B90"/>
    <w:multiLevelType w:val="multilevel"/>
    <w:tmpl w:val="1B840D2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9664EA7"/>
    <w:multiLevelType w:val="hybridMultilevel"/>
    <w:tmpl w:val="5D1C93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B63854"/>
    <w:multiLevelType w:val="multilevel"/>
    <w:tmpl w:val="A066F0D2"/>
    <w:lvl w:ilvl="0">
      <w:start w:val="1"/>
      <w:numFmt w:val="decimal"/>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1DA13BB"/>
    <w:multiLevelType w:val="hybridMultilevel"/>
    <w:tmpl w:val="4FDCF98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5BB6B59"/>
    <w:multiLevelType w:val="multilevel"/>
    <w:tmpl w:val="734CB474"/>
    <w:lvl w:ilvl="0">
      <w:start w:val="1"/>
      <w:numFmt w:val="upperRoman"/>
      <w:lvlText w:val="%1."/>
      <w:lvlJc w:val="right"/>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4D481D"/>
    <w:multiLevelType w:val="hybridMultilevel"/>
    <w:tmpl w:val="FC18B282"/>
    <w:lvl w:ilvl="0" w:tplc="0A64037A">
      <w:start w:val="1"/>
      <w:numFmt w:val="decimal"/>
      <w:lvlText w:val="%1."/>
      <w:lvlJc w:val="righ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3"/>
  </w:num>
  <w:num w:numId="4">
    <w:abstractNumId w:val="19"/>
  </w:num>
  <w:num w:numId="5">
    <w:abstractNumId w:val="11"/>
  </w:num>
  <w:num w:numId="6">
    <w:abstractNumId w:val="1"/>
  </w:num>
  <w:num w:numId="7">
    <w:abstractNumId w:val="10"/>
  </w:num>
  <w:num w:numId="8">
    <w:abstractNumId w:val="3"/>
  </w:num>
  <w:num w:numId="9">
    <w:abstractNumId w:val="2"/>
  </w:num>
  <w:num w:numId="10">
    <w:abstractNumId w:val="16"/>
  </w:num>
  <w:num w:numId="11">
    <w:abstractNumId w:val="21"/>
  </w:num>
  <w:num w:numId="12">
    <w:abstractNumId w:val="4"/>
  </w:num>
  <w:num w:numId="13">
    <w:abstractNumId w:val="9"/>
  </w:num>
  <w:num w:numId="14">
    <w:abstractNumId w:val="8"/>
  </w:num>
  <w:num w:numId="15">
    <w:abstractNumId w:val="20"/>
  </w:num>
  <w:num w:numId="16">
    <w:abstractNumId w:val="15"/>
  </w:num>
  <w:num w:numId="17">
    <w:abstractNumId w:val="12"/>
  </w:num>
  <w:num w:numId="18">
    <w:abstractNumId w:val="7"/>
  </w:num>
  <w:num w:numId="19">
    <w:abstractNumId w:val="5"/>
  </w:num>
  <w:num w:numId="20">
    <w:abstractNumId w:val="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144C48"/>
    <w:rsid w:val="00207157"/>
    <w:rsid w:val="00287059"/>
    <w:rsid w:val="002C2119"/>
    <w:rsid w:val="002F2F82"/>
    <w:rsid w:val="004E0EE8"/>
    <w:rsid w:val="0054783A"/>
    <w:rsid w:val="005552F1"/>
    <w:rsid w:val="00566254"/>
    <w:rsid w:val="00575292"/>
    <w:rsid w:val="00602EF1"/>
    <w:rsid w:val="00691F4D"/>
    <w:rsid w:val="007449BE"/>
    <w:rsid w:val="007A2E9E"/>
    <w:rsid w:val="00814CC4"/>
    <w:rsid w:val="008812EA"/>
    <w:rsid w:val="008902BE"/>
    <w:rsid w:val="00A06E26"/>
    <w:rsid w:val="00AB7E73"/>
    <w:rsid w:val="00B26570"/>
    <w:rsid w:val="00C15A72"/>
    <w:rsid w:val="00C77C83"/>
    <w:rsid w:val="00C977FA"/>
    <w:rsid w:val="00CC1B25"/>
    <w:rsid w:val="00E97AFE"/>
    <w:rsid w:val="00F51773"/>
    <w:rsid w:val="00F77F66"/>
    <w:rsid w:val="00FB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4D"/>
    <w:rPr>
      <w:sz w:val="24"/>
      <w:szCs w:val="24"/>
    </w:rPr>
  </w:style>
  <w:style w:type="paragraph" w:styleId="Heading3">
    <w:name w:val="heading 3"/>
    <w:basedOn w:val="Normal"/>
    <w:next w:val="Normal"/>
    <w:qFormat/>
    <w:rsid w:val="00E97AFE"/>
    <w:pPr>
      <w:keepNext/>
      <w:outlineLvl w:val="2"/>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691F4D"/>
    <w:pPr>
      <w:overflowPunct w:val="0"/>
      <w:autoSpaceDE w:val="0"/>
      <w:autoSpaceDN w:val="0"/>
      <w:adjustRightInd w:val="0"/>
      <w:textAlignment w:val="baseline"/>
    </w:pPr>
    <w:rPr>
      <w:szCs w:val="20"/>
    </w:rPr>
  </w:style>
  <w:style w:type="paragraph" w:styleId="BodyTextIndent">
    <w:name w:val="Body Text Indent"/>
    <w:basedOn w:val="Normal"/>
    <w:rsid w:val="00E97AFE"/>
    <w:pPr>
      <w:spacing w:before="100" w:beforeAutospacing="1" w:after="100" w:afterAutospacing="1"/>
      <w:ind w:left="360"/>
    </w:pPr>
  </w:style>
  <w:style w:type="paragraph" w:styleId="BalloonText">
    <w:name w:val="Balloon Text"/>
    <w:basedOn w:val="Normal"/>
    <w:semiHidden/>
    <w:rsid w:val="007449BE"/>
    <w:rPr>
      <w:rFonts w:ascii="Tahoma" w:hAnsi="Tahoma" w:cs="Tahoma"/>
      <w:sz w:val="16"/>
      <w:szCs w:val="16"/>
    </w:rPr>
  </w:style>
  <w:style w:type="character" w:customStyle="1" w:styleId="blueten1">
    <w:name w:val="blueten1"/>
    <w:rsid w:val="00C977FA"/>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8F8AE589-8753-43BC-9498-863FFA976534}"/>
</file>

<file path=customXml/itemProps2.xml><?xml version="1.0" encoding="utf-8"?>
<ds:datastoreItem xmlns:ds="http://schemas.openxmlformats.org/officeDocument/2006/customXml" ds:itemID="{672EDF14-349C-45FB-B721-FECFCB3D1A5D}"/>
</file>

<file path=customXml/itemProps3.xml><?xml version="1.0" encoding="utf-8"?>
<ds:datastoreItem xmlns:ds="http://schemas.openxmlformats.org/officeDocument/2006/customXml" ds:itemID="{6AD159C6-EE95-40BD-BC00-EE4EB705ECF9}"/>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9</vt:lpstr>
    </vt:vector>
  </TitlesOfParts>
  <Company>Office of Administration</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jsucic</dc:creator>
  <cp:lastModifiedBy>degan</cp:lastModifiedBy>
  <cp:revision>2</cp:revision>
  <cp:lastPrinted>2008-02-13T22:30:00Z</cp:lastPrinted>
  <dcterms:created xsi:type="dcterms:W3CDTF">2015-02-26T20:22:00Z</dcterms:created>
  <dcterms:modified xsi:type="dcterms:W3CDTF">2015-02-26T20:22:00Z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