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61" w:rsidRPr="00740914" w:rsidRDefault="004A1561" w:rsidP="004A1561">
      <w:pPr>
        <w:jc w:val="center"/>
        <w:rPr>
          <w:rFonts w:ascii="Verdana" w:hAnsi="Verdana"/>
          <w:b/>
          <w:sz w:val="28"/>
          <w:szCs w:val="28"/>
        </w:rPr>
      </w:pPr>
      <w:bookmarkStart w:id="0" w:name="_GoBack"/>
      <w:bookmarkEnd w:id="0"/>
      <w:r w:rsidRPr="00740914">
        <w:rPr>
          <w:rFonts w:ascii="Verdana" w:hAnsi="Verdana"/>
          <w:b/>
          <w:sz w:val="28"/>
          <w:szCs w:val="28"/>
        </w:rPr>
        <w:t>Commonwealth Workplace Safety and Health Program</w:t>
      </w:r>
    </w:p>
    <w:p w:rsidR="004A1561" w:rsidRPr="00740914" w:rsidRDefault="004A1561" w:rsidP="004A1561">
      <w:pPr>
        <w:jc w:val="center"/>
        <w:rPr>
          <w:rFonts w:ascii="Verdana" w:hAnsi="Verdana"/>
          <w:b/>
        </w:rPr>
      </w:pPr>
      <w:r w:rsidRPr="00740914">
        <w:rPr>
          <w:rFonts w:ascii="Verdana" w:hAnsi="Verdana"/>
          <w:b/>
          <w:sz w:val="28"/>
          <w:szCs w:val="28"/>
        </w:rPr>
        <w:t>Requirement Guide</w:t>
      </w:r>
    </w:p>
    <w:p w:rsidR="007C6C4D" w:rsidRPr="00740914" w:rsidRDefault="00F7276F" w:rsidP="00EB277D">
      <w:pPr>
        <w:jc w:val="center"/>
        <w:rPr>
          <w:rFonts w:ascii="Verdana" w:hAnsi="Verdana"/>
          <w:b/>
          <w:sz w:val="22"/>
          <w:szCs w:val="22"/>
        </w:rPr>
      </w:pPr>
      <w:r w:rsidRPr="00740914">
        <w:rPr>
          <w:rFonts w:ascii="Verdana" w:hAnsi="Verdana"/>
          <w:b/>
          <w:sz w:val="22"/>
          <w:szCs w:val="22"/>
        </w:rPr>
        <w:t>(</w:t>
      </w:r>
      <w:r w:rsidR="007C6C4D" w:rsidRPr="00740914">
        <w:rPr>
          <w:rFonts w:ascii="Verdana" w:hAnsi="Verdana"/>
          <w:b/>
          <w:sz w:val="22"/>
          <w:szCs w:val="22"/>
        </w:rPr>
        <w:t>Protocols or Standard Operating Procedures</w:t>
      </w:r>
      <w:r w:rsidRPr="00740914">
        <w:rPr>
          <w:rFonts w:ascii="Verdana" w:hAnsi="Verdana"/>
          <w:b/>
          <w:sz w:val="22"/>
          <w:szCs w:val="22"/>
        </w:rPr>
        <w:t xml:space="preserve"> – P Elements)</w:t>
      </w:r>
    </w:p>
    <w:p w:rsidR="00EB277D" w:rsidRPr="00740914" w:rsidRDefault="00EB277D" w:rsidP="00C2111A">
      <w:pPr>
        <w:rPr>
          <w:rFonts w:ascii="Verdana" w:hAnsi="Verdana"/>
          <w:b/>
          <w:sz w:val="20"/>
          <w:szCs w:val="20"/>
          <w:u w:val="single"/>
        </w:rPr>
      </w:pPr>
    </w:p>
    <w:p w:rsidR="00C2111A" w:rsidRPr="00740914" w:rsidRDefault="00C2111A" w:rsidP="00C2111A">
      <w:pPr>
        <w:rPr>
          <w:rFonts w:ascii="Verdana" w:hAnsi="Verdana"/>
          <w:b/>
          <w:sz w:val="20"/>
          <w:szCs w:val="20"/>
          <w:u w:val="single"/>
        </w:rPr>
      </w:pPr>
    </w:p>
    <w:p w:rsidR="00C2111A" w:rsidRPr="00740914" w:rsidRDefault="00C2111A" w:rsidP="00C2111A">
      <w:pPr>
        <w:rPr>
          <w:rFonts w:ascii="Verdana" w:hAnsi="Verdana"/>
          <w:b/>
        </w:rPr>
      </w:pPr>
      <w:r w:rsidRPr="00740914">
        <w:rPr>
          <w:rFonts w:ascii="Verdana" w:hAnsi="Verdana"/>
          <w:b/>
        </w:rPr>
        <w:t>Overview:</w:t>
      </w:r>
    </w:p>
    <w:p w:rsidR="00C2111A" w:rsidRPr="00740914" w:rsidRDefault="00C2111A" w:rsidP="00C2111A">
      <w:pPr>
        <w:ind w:firstLine="720"/>
        <w:rPr>
          <w:rFonts w:ascii="Verdana" w:hAnsi="Verdana"/>
          <w:sz w:val="20"/>
          <w:szCs w:val="20"/>
        </w:rPr>
      </w:pPr>
    </w:p>
    <w:p w:rsidR="00C2111A" w:rsidRPr="00740914" w:rsidRDefault="00C2111A" w:rsidP="00740914">
      <w:pPr>
        <w:ind w:firstLine="720"/>
        <w:rPr>
          <w:rFonts w:ascii="Verdana" w:hAnsi="Verdana"/>
          <w:sz w:val="20"/>
          <w:szCs w:val="20"/>
        </w:rPr>
      </w:pPr>
      <w:r w:rsidRPr="00740914">
        <w:rPr>
          <w:rFonts w:ascii="Verdana" w:hAnsi="Verdana"/>
          <w:sz w:val="20"/>
          <w:szCs w:val="20"/>
        </w:rPr>
        <w:t xml:space="preserve">Under the Accident and Illness Prevention Program (AIPP) Elements section of the Pennsylvania Workers’ Compensation Health and Safety Regulations, 34 PA Code Chapter 129, there </w:t>
      </w:r>
      <w:r w:rsidR="003331FD" w:rsidRPr="00740914">
        <w:rPr>
          <w:rFonts w:ascii="Verdana" w:hAnsi="Verdana"/>
          <w:sz w:val="20"/>
          <w:szCs w:val="20"/>
        </w:rPr>
        <w:t xml:space="preserve">is a </w:t>
      </w:r>
      <w:r w:rsidRPr="00740914">
        <w:rPr>
          <w:rFonts w:ascii="Verdana" w:hAnsi="Verdana"/>
          <w:sz w:val="20"/>
          <w:szCs w:val="20"/>
        </w:rPr>
        <w:t xml:space="preserve">requirement for protocols or standard operating procedures when applicable to the </w:t>
      </w:r>
      <w:r w:rsidR="003331FD" w:rsidRPr="00740914">
        <w:rPr>
          <w:rFonts w:ascii="Verdana" w:hAnsi="Verdana"/>
          <w:sz w:val="20"/>
          <w:szCs w:val="20"/>
        </w:rPr>
        <w:t xml:space="preserve">workplace.  </w:t>
      </w:r>
      <w:r w:rsidRPr="00740914">
        <w:rPr>
          <w:rFonts w:ascii="Verdana" w:hAnsi="Verdana"/>
          <w:sz w:val="20"/>
          <w:szCs w:val="20"/>
        </w:rPr>
        <w:t xml:space="preserve">  </w:t>
      </w:r>
    </w:p>
    <w:p w:rsidR="00C2111A" w:rsidRPr="00740914" w:rsidRDefault="00C2111A" w:rsidP="00C2111A">
      <w:pPr>
        <w:ind w:firstLine="720"/>
        <w:rPr>
          <w:rFonts w:ascii="Verdana" w:hAnsi="Verdana"/>
          <w:sz w:val="20"/>
          <w:szCs w:val="20"/>
        </w:rPr>
      </w:pPr>
    </w:p>
    <w:p w:rsidR="00C2111A" w:rsidRPr="00740914" w:rsidRDefault="00C2111A" w:rsidP="00740914">
      <w:pPr>
        <w:ind w:firstLine="720"/>
        <w:rPr>
          <w:rFonts w:ascii="Verdana" w:hAnsi="Verdana"/>
          <w:sz w:val="20"/>
          <w:szCs w:val="20"/>
        </w:rPr>
      </w:pPr>
      <w:r w:rsidRPr="00740914">
        <w:rPr>
          <w:rFonts w:ascii="Verdana" w:hAnsi="Verdana"/>
          <w:sz w:val="20"/>
          <w:szCs w:val="20"/>
        </w:rPr>
        <w:t xml:space="preserve">Each of </w:t>
      </w:r>
      <w:r w:rsidR="003331FD" w:rsidRPr="00740914">
        <w:rPr>
          <w:rFonts w:ascii="Verdana" w:hAnsi="Verdana"/>
          <w:sz w:val="20"/>
          <w:szCs w:val="20"/>
        </w:rPr>
        <w:t xml:space="preserve">the protocols </w:t>
      </w:r>
      <w:r w:rsidRPr="00740914">
        <w:rPr>
          <w:rFonts w:ascii="Verdana" w:hAnsi="Verdana"/>
          <w:sz w:val="20"/>
          <w:szCs w:val="20"/>
        </w:rPr>
        <w:t xml:space="preserve">must be reviewed to determine applicability.  If applicable, this series of directives should be used define the need for written protocols within the agency and the minimum requirements necessary to develop the protocols.  It is recognized that the requirements listed for the protocols may not cover all needs or apply to all agencies.  </w:t>
      </w:r>
    </w:p>
    <w:p w:rsidR="00C2111A" w:rsidRPr="00740914" w:rsidRDefault="00C2111A" w:rsidP="00C2111A">
      <w:pPr>
        <w:ind w:firstLine="720"/>
        <w:rPr>
          <w:rFonts w:ascii="Verdana" w:hAnsi="Verdana"/>
          <w:sz w:val="20"/>
          <w:szCs w:val="20"/>
        </w:rPr>
      </w:pPr>
    </w:p>
    <w:p w:rsidR="00C2111A" w:rsidRPr="00740914" w:rsidRDefault="00C2111A" w:rsidP="00740914">
      <w:pPr>
        <w:ind w:firstLine="720"/>
        <w:rPr>
          <w:rFonts w:ascii="Verdana" w:hAnsi="Verdana"/>
          <w:bCs/>
          <w:sz w:val="20"/>
          <w:szCs w:val="20"/>
        </w:rPr>
      </w:pPr>
      <w:r w:rsidRPr="00740914">
        <w:rPr>
          <w:rFonts w:ascii="Verdana" w:hAnsi="Verdana"/>
          <w:sz w:val="20"/>
          <w:szCs w:val="20"/>
        </w:rPr>
        <w:t xml:space="preserve">The development of agency specific programs and procedures </w:t>
      </w:r>
      <w:r w:rsidRPr="00740914">
        <w:rPr>
          <w:rFonts w:ascii="Verdana" w:hAnsi="Verdana"/>
          <w:bCs/>
          <w:sz w:val="20"/>
          <w:szCs w:val="20"/>
        </w:rPr>
        <w:t>should be based on the type of operations and hazards in the work environment.  Assistance is available from the consultants for the development of the protocols and procedures.  To request assistance, contact ra-benhelp@state.pa.us.</w:t>
      </w:r>
    </w:p>
    <w:p w:rsidR="00C2111A" w:rsidRPr="00740914" w:rsidRDefault="00C2111A" w:rsidP="00C2111A">
      <w:pPr>
        <w:rPr>
          <w:rFonts w:ascii="Verdana" w:hAnsi="Verdana"/>
          <w:bCs/>
          <w:sz w:val="20"/>
          <w:szCs w:val="20"/>
        </w:rPr>
      </w:pPr>
    </w:p>
    <w:p w:rsidR="00C2111A" w:rsidRPr="00740914" w:rsidRDefault="00C2111A" w:rsidP="00C2111A">
      <w:pPr>
        <w:rPr>
          <w:rFonts w:ascii="Verdana" w:hAnsi="Verdana"/>
          <w:bCs/>
          <w:sz w:val="20"/>
          <w:szCs w:val="20"/>
        </w:rPr>
      </w:pPr>
    </w:p>
    <w:p w:rsidR="00C2111A" w:rsidRPr="00740914" w:rsidRDefault="00C2111A" w:rsidP="00C2111A">
      <w:pPr>
        <w:rPr>
          <w:rFonts w:ascii="Verdana" w:hAnsi="Verdana"/>
          <w:b/>
          <w:bCs/>
        </w:rPr>
      </w:pPr>
      <w:r w:rsidRPr="00740914">
        <w:rPr>
          <w:rFonts w:ascii="Verdana" w:hAnsi="Verdana"/>
          <w:b/>
          <w:bCs/>
        </w:rPr>
        <w:t>Explanation and Use of the Guide:</w:t>
      </w:r>
    </w:p>
    <w:p w:rsidR="00C2111A" w:rsidRPr="00740914" w:rsidRDefault="00C2111A" w:rsidP="00C2111A">
      <w:pPr>
        <w:rPr>
          <w:rFonts w:ascii="Verdana" w:hAnsi="Verdana"/>
          <w:b/>
          <w:bCs/>
          <w:sz w:val="20"/>
          <w:szCs w:val="20"/>
          <w:u w:val="single"/>
        </w:rPr>
      </w:pPr>
    </w:p>
    <w:p w:rsidR="00C2111A" w:rsidRPr="00740914" w:rsidRDefault="007E48AE" w:rsidP="00740914">
      <w:pPr>
        <w:rPr>
          <w:rFonts w:ascii="Verdana" w:hAnsi="Verdana"/>
          <w:bCs/>
          <w:sz w:val="20"/>
          <w:szCs w:val="20"/>
        </w:rPr>
      </w:pPr>
      <w:r w:rsidRPr="00740914">
        <w:rPr>
          <w:rFonts w:ascii="Verdana" w:hAnsi="Verdana"/>
          <w:bCs/>
          <w:sz w:val="20"/>
          <w:szCs w:val="20"/>
        </w:rPr>
        <w:t xml:space="preserve">The requirement guide </w:t>
      </w:r>
      <w:r w:rsidR="00C2111A" w:rsidRPr="00740914">
        <w:rPr>
          <w:rFonts w:ascii="Verdana" w:hAnsi="Verdana"/>
          <w:bCs/>
          <w:sz w:val="20"/>
          <w:szCs w:val="20"/>
        </w:rPr>
        <w:t xml:space="preserve">includes several sections </w:t>
      </w:r>
      <w:r w:rsidR="003331FD" w:rsidRPr="00740914">
        <w:rPr>
          <w:rFonts w:ascii="Verdana" w:hAnsi="Verdana"/>
          <w:bCs/>
          <w:sz w:val="20"/>
          <w:szCs w:val="20"/>
        </w:rPr>
        <w:t xml:space="preserve">that </w:t>
      </w:r>
      <w:r w:rsidR="00C2111A" w:rsidRPr="00740914">
        <w:rPr>
          <w:rFonts w:ascii="Verdana" w:hAnsi="Verdana"/>
          <w:bCs/>
          <w:sz w:val="20"/>
          <w:szCs w:val="20"/>
        </w:rPr>
        <w:t xml:space="preserve">explain how to </w:t>
      </w:r>
      <w:r w:rsidRPr="00740914">
        <w:rPr>
          <w:rFonts w:ascii="Verdana" w:hAnsi="Verdana"/>
          <w:bCs/>
          <w:sz w:val="20"/>
          <w:szCs w:val="20"/>
        </w:rPr>
        <w:t xml:space="preserve">adequately address each protocol.  </w:t>
      </w:r>
      <w:r w:rsidR="00C2111A" w:rsidRPr="00740914">
        <w:rPr>
          <w:rFonts w:ascii="Verdana" w:hAnsi="Verdana"/>
          <w:bCs/>
          <w:sz w:val="20"/>
          <w:szCs w:val="20"/>
        </w:rPr>
        <w:t>It is important to understand this information to be able to use the guide.</w:t>
      </w:r>
    </w:p>
    <w:p w:rsidR="00C2111A" w:rsidRPr="00740914" w:rsidRDefault="00C2111A" w:rsidP="00C2111A">
      <w:pPr>
        <w:rPr>
          <w:rFonts w:ascii="Verdana" w:hAnsi="Verdana"/>
          <w:bCs/>
          <w:sz w:val="20"/>
          <w:szCs w:val="20"/>
        </w:rPr>
      </w:pPr>
    </w:p>
    <w:p w:rsidR="00C2111A" w:rsidRPr="00740914" w:rsidRDefault="007E48AE" w:rsidP="00740914">
      <w:pPr>
        <w:ind w:firstLine="720"/>
        <w:rPr>
          <w:rFonts w:ascii="Verdana" w:hAnsi="Verdana"/>
          <w:bCs/>
          <w:sz w:val="20"/>
          <w:szCs w:val="20"/>
        </w:rPr>
      </w:pPr>
      <w:r w:rsidRPr="00740914">
        <w:rPr>
          <w:rFonts w:ascii="Verdana" w:hAnsi="Verdana"/>
          <w:b/>
          <w:bCs/>
          <w:sz w:val="20"/>
          <w:szCs w:val="20"/>
        </w:rPr>
        <w:t>Purpose</w:t>
      </w:r>
      <w:r w:rsidR="00C2111A" w:rsidRPr="00740914">
        <w:rPr>
          <w:rFonts w:ascii="Verdana" w:hAnsi="Verdana"/>
          <w:b/>
          <w:bCs/>
          <w:sz w:val="20"/>
          <w:szCs w:val="20"/>
        </w:rPr>
        <w:t xml:space="preserve">:  </w:t>
      </w:r>
      <w:r w:rsidRPr="00740914">
        <w:rPr>
          <w:rFonts w:ascii="Verdana" w:hAnsi="Verdana"/>
          <w:bCs/>
          <w:sz w:val="20"/>
          <w:szCs w:val="20"/>
        </w:rPr>
        <w:t>Provides the purpose and definition of the protocol.</w:t>
      </w:r>
    </w:p>
    <w:p w:rsidR="00C2111A" w:rsidRPr="00740914" w:rsidRDefault="00C2111A" w:rsidP="00C2111A">
      <w:pPr>
        <w:ind w:left="720"/>
        <w:rPr>
          <w:rFonts w:ascii="Verdana" w:hAnsi="Verdana"/>
          <w:bCs/>
          <w:sz w:val="20"/>
          <w:szCs w:val="20"/>
        </w:rPr>
      </w:pPr>
    </w:p>
    <w:p w:rsidR="00C2111A" w:rsidRPr="00740914" w:rsidRDefault="00C2111A" w:rsidP="00C2111A">
      <w:pPr>
        <w:ind w:left="720"/>
        <w:rPr>
          <w:rFonts w:ascii="Verdana" w:hAnsi="Verdana"/>
          <w:bCs/>
          <w:sz w:val="20"/>
          <w:szCs w:val="20"/>
        </w:rPr>
      </w:pPr>
      <w:r w:rsidRPr="00740914">
        <w:rPr>
          <w:rFonts w:ascii="Verdana" w:hAnsi="Verdana"/>
          <w:b/>
          <w:bCs/>
          <w:sz w:val="20"/>
          <w:szCs w:val="20"/>
        </w:rPr>
        <w:t>Introduction:</w:t>
      </w:r>
      <w:r w:rsidRPr="00740914">
        <w:rPr>
          <w:rFonts w:ascii="Verdana" w:hAnsi="Verdana"/>
          <w:bCs/>
          <w:sz w:val="20"/>
          <w:szCs w:val="20"/>
        </w:rPr>
        <w:t xml:space="preserve">  </w:t>
      </w:r>
      <w:r w:rsidR="007E48AE" w:rsidRPr="00740914">
        <w:rPr>
          <w:rFonts w:ascii="Verdana" w:hAnsi="Verdana"/>
          <w:bCs/>
          <w:sz w:val="20"/>
          <w:szCs w:val="20"/>
        </w:rPr>
        <w:t>P</w:t>
      </w:r>
      <w:r w:rsidRPr="00740914">
        <w:rPr>
          <w:rFonts w:ascii="Verdana" w:hAnsi="Verdana"/>
          <w:bCs/>
          <w:sz w:val="20"/>
          <w:szCs w:val="20"/>
        </w:rPr>
        <w:t xml:space="preserve">rovides clarification to the definition and </w:t>
      </w:r>
      <w:r w:rsidR="007E48AE" w:rsidRPr="00740914">
        <w:rPr>
          <w:rFonts w:ascii="Verdana" w:hAnsi="Verdana"/>
          <w:bCs/>
          <w:sz w:val="20"/>
          <w:szCs w:val="20"/>
        </w:rPr>
        <w:t>general requirement information.</w:t>
      </w:r>
    </w:p>
    <w:p w:rsidR="00C2111A" w:rsidRPr="00740914" w:rsidRDefault="00C2111A" w:rsidP="00C2111A">
      <w:pPr>
        <w:ind w:left="720"/>
        <w:rPr>
          <w:rFonts w:ascii="Verdana" w:hAnsi="Verdana"/>
          <w:bCs/>
          <w:sz w:val="20"/>
          <w:szCs w:val="20"/>
        </w:rPr>
      </w:pPr>
    </w:p>
    <w:p w:rsidR="00C2111A" w:rsidRPr="00740914" w:rsidRDefault="00C2111A" w:rsidP="00C2111A">
      <w:pPr>
        <w:pStyle w:val="DefaultText"/>
        <w:ind w:left="720"/>
        <w:rPr>
          <w:rFonts w:ascii="Verdana" w:hAnsi="Verdana"/>
          <w:sz w:val="20"/>
        </w:rPr>
      </w:pPr>
      <w:r w:rsidRPr="00740914">
        <w:rPr>
          <w:rFonts w:ascii="Verdana" w:hAnsi="Verdana"/>
          <w:b/>
          <w:sz w:val="20"/>
        </w:rPr>
        <w:t>Hazard Assessment</w:t>
      </w:r>
      <w:r w:rsidRPr="00740914">
        <w:rPr>
          <w:rFonts w:ascii="Verdana" w:hAnsi="Verdana"/>
          <w:sz w:val="20"/>
        </w:rPr>
        <w:t xml:space="preserve">:  This section </w:t>
      </w:r>
      <w:r w:rsidR="00B06523" w:rsidRPr="00740914">
        <w:rPr>
          <w:rFonts w:ascii="Verdana" w:hAnsi="Verdana"/>
          <w:sz w:val="20"/>
        </w:rPr>
        <w:t xml:space="preserve">provides guidance to review all agency locations and </w:t>
      </w:r>
      <w:r w:rsidRPr="00740914">
        <w:rPr>
          <w:rFonts w:ascii="Verdana" w:hAnsi="Verdana"/>
          <w:sz w:val="20"/>
        </w:rPr>
        <w:t xml:space="preserve">operations to determine if the </w:t>
      </w:r>
      <w:r w:rsidR="00B6467F" w:rsidRPr="00740914">
        <w:rPr>
          <w:rFonts w:ascii="Verdana" w:hAnsi="Verdana"/>
          <w:sz w:val="20"/>
        </w:rPr>
        <w:t xml:space="preserve">protocol </w:t>
      </w:r>
      <w:r w:rsidRPr="00740914">
        <w:rPr>
          <w:rFonts w:ascii="Verdana" w:hAnsi="Verdana"/>
          <w:sz w:val="20"/>
        </w:rPr>
        <w:t xml:space="preserve">is applicable.  If not applicable, no further action is required.  If it is found that the hazard exists, then follow the guidance in the remainder of this directive </w:t>
      </w:r>
      <w:r w:rsidR="00B6467F" w:rsidRPr="00740914">
        <w:rPr>
          <w:rFonts w:ascii="Verdana" w:hAnsi="Verdana"/>
          <w:sz w:val="20"/>
        </w:rPr>
        <w:t xml:space="preserve">for </w:t>
      </w:r>
      <w:r w:rsidRPr="00740914">
        <w:rPr>
          <w:rFonts w:ascii="Verdana" w:hAnsi="Verdana"/>
          <w:sz w:val="20"/>
        </w:rPr>
        <w:t xml:space="preserve">developing, implementing, and maintaining an effective program to address the need.  </w:t>
      </w:r>
      <w:r w:rsidR="00B06523" w:rsidRPr="00740914">
        <w:rPr>
          <w:rFonts w:ascii="Verdana" w:hAnsi="Verdana"/>
          <w:sz w:val="20"/>
        </w:rPr>
        <w:t>Document and m</w:t>
      </w:r>
      <w:r w:rsidR="00B6467F" w:rsidRPr="00740914">
        <w:rPr>
          <w:rFonts w:ascii="Verdana" w:hAnsi="Verdana"/>
          <w:sz w:val="20"/>
        </w:rPr>
        <w:t>aintain the completed assessmen</w:t>
      </w:r>
      <w:r w:rsidR="00B06523" w:rsidRPr="00740914">
        <w:rPr>
          <w:rFonts w:ascii="Verdana" w:hAnsi="Verdana"/>
          <w:sz w:val="20"/>
        </w:rPr>
        <w:t>t for record keeping.</w:t>
      </w:r>
    </w:p>
    <w:p w:rsidR="00C2111A" w:rsidRPr="00740914" w:rsidRDefault="00C2111A" w:rsidP="00C2111A">
      <w:pPr>
        <w:ind w:left="720"/>
        <w:rPr>
          <w:rFonts w:ascii="Verdana" w:hAnsi="Verdana"/>
          <w:bCs/>
          <w:sz w:val="20"/>
          <w:szCs w:val="20"/>
        </w:rPr>
      </w:pPr>
    </w:p>
    <w:p w:rsidR="00C2111A" w:rsidRPr="00740914" w:rsidRDefault="00C2111A" w:rsidP="00C2111A">
      <w:pPr>
        <w:ind w:left="720"/>
        <w:rPr>
          <w:rFonts w:ascii="Verdana" w:hAnsi="Verdana"/>
          <w:bCs/>
          <w:sz w:val="20"/>
          <w:szCs w:val="20"/>
        </w:rPr>
      </w:pPr>
      <w:r w:rsidRPr="00740914">
        <w:rPr>
          <w:rFonts w:ascii="Verdana" w:hAnsi="Verdana"/>
          <w:b/>
          <w:bCs/>
          <w:sz w:val="20"/>
          <w:szCs w:val="20"/>
        </w:rPr>
        <w:t>Standards:</w:t>
      </w:r>
      <w:r w:rsidRPr="00740914">
        <w:rPr>
          <w:rFonts w:ascii="Verdana" w:hAnsi="Verdana"/>
          <w:bCs/>
          <w:sz w:val="20"/>
          <w:szCs w:val="20"/>
        </w:rPr>
        <w:t xml:space="preserve">  </w:t>
      </w:r>
      <w:r w:rsidR="00B06523" w:rsidRPr="00740914">
        <w:rPr>
          <w:rFonts w:ascii="Verdana" w:hAnsi="Verdana"/>
          <w:bCs/>
          <w:sz w:val="20"/>
          <w:szCs w:val="20"/>
        </w:rPr>
        <w:t xml:space="preserve">Applicable federal, state, or national consensus standards and organizations are provided for reference and guidance.  </w:t>
      </w:r>
      <w:r w:rsidRPr="00740914">
        <w:rPr>
          <w:rFonts w:ascii="Verdana" w:hAnsi="Verdana"/>
          <w:bCs/>
          <w:sz w:val="20"/>
          <w:szCs w:val="20"/>
        </w:rPr>
        <w:t>The list provided may not be all inclusive.</w:t>
      </w:r>
    </w:p>
    <w:p w:rsidR="00C2111A" w:rsidRPr="00740914" w:rsidRDefault="00C2111A" w:rsidP="00C2111A">
      <w:pPr>
        <w:ind w:left="720"/>
        <w:rPr>
          <w:rFonts w:ascii="Verdana" w:hAnsi="Verdana"/>
          <w:bCs/>
          <w:sz w:val="20"/>
          <w:szCs w:val="20"/>
        </w:rPr>
      </w:pPr>
    </w:p>
    <w:p w:rsidR="00C2111A" w:rsidRPr="00740914" w:rsidRDefault="00C2111A" w:rsidP="00C2111A">
      <w:pPr>
        <w:ind w:left="720"/>
        <w:rPr>
          <w:rFonts w:ascii="Verdana" w:hAnsi="Verdana"/>
          <w:bCs/>
          <w:sz w:val="20"/>
          <w:szCs w:val="20"/>
        </w:rPr>
      </w:pPr>
      <w:r w:rsidRPr="00740914">
        <w:rPr>
          <w:rFonts w:ascii="Verdana" w:hAnsi="Verdana"/>
          <w:b/>
          <w:bCs/>
          <w:sz w:val="20"/>
          <w:szCs w:val="20"/>
        </w:rPr>
        <w:t>Written Procedure:</w:t>
      </w:r>
      <w:r w:rsidRPr="00740914">
        <w:rPr>
          <w:rFonts w:ascii="Verdana" w:hAnsi="Verdana"/>
          <w:bCs/>
          <w:sz w:val="20"/>
          <w:szCs w:val="20"/>
        </w:rPr>
        <w:t xml:space="preserve">  All elements require a written procedure.  </w:t>
      </w:r>
      <w:r w:rsidR="00373F80" w:rsidRPr="00740914">
        <w:rPr>
          <w:rFonts w:ascii="Verdana" w:hAnsi="Verdana"/>
          <w:bCs/>
          <w:sz w:val="20"/>
          <w:szCs w:val="20"/>
        </w:rPr>
        <w:t>A</w:t>
      </w:r>
      <w:r w:rsidRPr="00740914">
        <w:rPr>
          <w:rFonts w:ascii="Verdana" w:hAnsi="Verdana"/>
          <w:bCs/>
          <w:sz w:val="20"/>
          <w:szCs w:val="20"/>
        </w:rPr>
        <w:t xml:space="preserve"> list of items </w:t>
      </w:r>
      <w:r w:rsidR="00373F80" w:rsidRPr="00740914">
        <w:rPr>
          <w:rFonts w:ascii="Verdana" w:hAnsi="Verdana"/>
          <w:bCs/>
          <w:sz w:val="20"/>
          <w:szCs w:val="20"/>
        </w:rPr>
        <w:t xml:space="preserve">and criteria to be addressed in the procedure, based on the applicable standards, are provided.  </w:t>
      </w:r>
    </w:p>
    <w:p w:rsidR="00373F80" w:rsidRPr="00740914" w:rsidRDefault="00373F80" w:rsidP="00C2111A">
      <w:pPr>
        <w:ind w:left="720"/>
        <w:rPr>
          <w:rFonts w:ascii="Verdana" w:hAnsi="Verdana"/>
          <w:bCs/>
          <w:sz w:val="20"/>
          <w:szCs w:val="20"/>
        </w:rPr>
      </w:pPr>
    </w:p>
    <w:p w:rsidR="00C2111A" w:rsidRPr="00740914" w:rsidRDefault="00C2111A" w:rsidP="00373F80">
      <w:pPr>
        <w:ind w:left="720"/>
        <w:rPr>
          <w:rFonts w:ascii="Verdana" w:hAnsi="Verdana"/>
          <w:sz w:val="20"/>
          <w:szCs w:val="20"/>
        </w:rPr>
      </w:pPr>
      <w:r w:rsidRPr="00740914">
        <w:rPr>
          <w:rFonts w:ascii="Verdana" w:hAnsi="Verdana"/>
          <w:b/>
          <w:sz w:val="20"/>
          <w:szCs w:val="20"/>
        </w:rPr>
        <w:t>Training:</w:t>
      </w:r>
      <w:r w:rsidRPr="00740914">
        <w:rPr>
          <w:rFonts w:ascii="Verdana" w:hAnsi="Verdana"/>
          <w:sz w:val="20"/>
          <w:szCs w:val="20"/>
        </w:rPr>
        <w:t xml:space="preserve">  All employees exposed to the hazard or working in close proximity to the hazard require training.  Maintain documentation of the training for all affected employees to include the name, date, and subject of the training.</w:t>
      </w:r>
    </w:p>
    <w:p w:rsidR="00373F80" w:rsidRPr="00740914" w:rsidRDefault="00373F80" w:rsidP="00373F80">
      <w:pPr>
        <w:ind w:left="720"/>
        <w:rPr>
          <w:rFonts w:ascii="Verdana" w:hAnsi="Verdana"/>
          <w:sz w:val="20"/>
          <w:szCs w:val="20"/>
        </w:rPr>
      </w:pPr>
    </w:p>
    <w:p w:rsidR="00C2111A" w:rsidRPr="00740914" w:rsidRDefault="00C2111A" w:rsidP="00373F80">
      <w:pPr>
        <w:ind w:left="720"/>
        <w:rPr>
          <w:rFonts w:ascii="Verdana" w:hAnsi="Verdana"/>
          <w:bCs/>
          <w:sz w:val="20"/>
          <w:szCs w:val="20"/>
        </w:rPr>
      </w:pPr>
      <w:r w:rsidRPr="00740914">
        <w:rPr>
          <w:rFonts w:ascii="Verdana" w:hAnsi="Verdana"/>
          <w:b/>
          <w:sz w:val="20"/>
          <w:szCs w:val="20"/>
        </w:rPr>
        <w:lastRenderedPageBreak/>
        <w:t>Procedures:</w:t>
      </w:r>
      <w:r w:rsidRPr="00740914">
        <w:rPr>
          <w:rFonts w:ascii="Verdana" w:hAnsi="Verdana"/>
          <w:sz w:val="20"/>
          <w:szCs w:val="20"/>
        </w:rPr>
        <w:t xml:space="preserve">  The list provide</w:t>
      </w:r>
      <w:r w:rsidR="00373F80" w:rsidRPr="00740914">
        <w:rPr>
          <w:rFonts w:ascii="Verdana" w:hAnsi="Verdana"/>
          <w:sz w:val="20"/>
          <w:szCs w:val="20"/>
        </w:rPr>
        <w:t>s hazard or program specific procedures that must be addressed</w:t>
      </w:r>
      <w:r w:rsidR="003927BE" w:rsidRPr="00740914">
        <w:rPr>
          <w:rFonts w:ascii="Verdana" w:hAnsi="Verdana"/>
          <w:sz w:val="20"/>
          <w:szCs w:val="20"/>
        </w:rPr>
        <w:t xml:space="preserve"> in the </w:t>
      </w:r>
      <w:r w:rsidRPr="00740914">
        <w:rPr>
          <w:rFonts w:ascii="Verdana" w:hAnsi="Verdana"/>
          <w:sz w:val="20"/>
          <w:szCs w:val="20"/>
        </w:rPr>
        <w:t>written procedure</w:t>
      </w:r>
      <w:r w:rsidRPr="00740914">
        <w:rPr>
          <w:rFonts w:ascii="Verdana" w:hAnsi="Verdana"/>
          <w:bCs/>
          <w:sz w:val="20"/>
          <w:szCs w:val="20"/>
        </w:rPr>
        <w:t>.</w:t>
      </w:r>
    </w:p>
    <w:p w:rsidR="00C2111A" w:rsidRPr="00740914" w:rsidRDefault="00C2111A" w:rsidP="00C2111A">
      <w:pPr>
        <w:ind w:left="720"/>
        <w:rPr>
          <w:rFonts w:ascii="Verdana" w:hAnsi="Verdana"/>
          <w:bCs/>
          <w:sz w:val="20"/>
          <w:szCs w:val="20"/>
        </w:rPr>
      </w:pPr>
    </w:p>
    <w:p w:rsidR="00C2111A" w:rsidRPr="00740914" w:rsidRDefault="00C2111A" w:rsidP="00C2111A">
      <w:pPr>
        <w:ind w:left="720"/>
        <w:rPr>
          <w:rFonts w:ascii="Verdana" w:hAnsi="Verdana"/>
          <w:bCs/>
          <w:sz w:val="20"/>
          <w:szCs w:val="20"/>
        </w:rPr>
      </w:pPr>
      <w:r w:rsidRPr="00740914">
        <w:rPr>
          <w:rFonts w:ascii="Verdana" w:hAnsi="Verdana"/>
          <w:b/>
          <w:bCs/>
          <w:sz w:val="20"/>
          <w:szCs w:val="20"/>
        </w:rPr>
        <w:t>Checklist and Forms:</w:t>
      </w:r>
      <w:r w:rsidRPr="00740914">
        <w:rPr>
          <w:rFonts w:ascii="Verdana" w:hAnsi="Verdana"/>
          <w:bCs/>
          <w:sz w:val="20"/>
          <w:szCs w:val="20"/>
        </w:rPr>
        <w:t xml:space="preserve">  Some, but not all, elements require the completion of checklists or forms which are explained under this heading.</w:t>
      </w:r>
    </w:p>
    <w:p w:rsidR="00C2111A" w:rsidRPr="00740914" w:rsidRDefault="00C2111A" w:rsidP="00C2111A">
      <w:pPr>
        <w:ind w:left="720"/>
        <w:rPr>
          <w:rFonts w:ascii="Verdana" w:hAnsi="Verdana"/>
          <w:bCs/>
          <w:sz w:val="20"/>
          <w:szCs w:val="20"/>
        </w:rPr>
      </w:pPr>
    </w:p>
    <w:p w:rsidR="00C2111A" w:rsidRPr="00740914" w:rsidRDefault="00C2111A" w:rsidP="00C2111A">
      <w:pPr>
        <w:spacing w:after="100"/>
        <w:ind w:left="720"/>
        <w:rPr>
          <w:rFonts w:ascii="Verdana" w:hAnsi="Verdana"/>
          <w:sz w:val="20"/>
          <w:szCs w:val="20"/>
        </w:rPr>
      </w:pPr>
      <w:r w:rsidRPr="00740914">
        <w:rPr>
          <w:rFonts w:ascii="Verdana" w:hAnsi="Verdana"/>
          <w:b/>
          <w:bCs/>
          <w:sz w:val="20"/>
          <w:szCs w:val="20"/>
        </w:rPr>
        <w:t>Program Effectiveness Review and Response</w:t>
      </w:r>
      <w:r w:rsidRPr="00740914">
        <w:rPr>
          <w:rFonts w:ascii="Verdana" w:hAnsi="Verdana"/>
          <w:bCs/>
          <w:sz w:val="20"/>
          <w:szCs w:val="20"/>
        </w:rPr>
        <w:t xml:space="preserve">:  </w:t>
      </w:r>
      <w:r w:rsidRPr="00740914">
        <w:rPr>
          <w:rFonts w:ascii="Verdana" w:hAnsi="Verdana"/>
          <w:sz w:val="20"/>
          <w:szCs w:val="20"/>
        </w:rPr>
        <w:t>The effectiveness of each program in preventing workplace hazards, injuries, and illnesses should be evaluated at least annually with appropriate actions taken including the d</w:t>
      </w:r>
      <w:r w:rsidRPr="00740914">
        <w:rPr>
          <w:rFonts w:ascii="Verdana" w:hAnsi="Verdana"/>
          <w:bCs/>
          <w:sz w:val="20"/>
          <w:szCs w:val="20"/>
        </w:rPr>
        <w:t>ocumenting of annual reviews.</w:t>
      </w:r>
    </w:p>
    <w:p w:rsidR="00C2111A" w:rsidRPr="00740914" w:rsidRDefault="00C2111A" w:rsidP="002238D0">
      <w:pPr>
        <w:rPr>
          <w:rFonts w:ascii="Verdana" w:hAnsi="Verdana"/>
          <w:sz w:val="20"/>
          <w:szCs w:val="20"/>
        </w:rPr>
      </w:pPr>
    </w:p>
    <w:sectPr w:rsidR="00C2111A" w:rsidRPr="00740914" w:rsidSect="00740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9B"/>
    <w:multiLevelType w:val="multilevel"/>
    <w:tmpl w:val="6700FE1C"/>
    <w:lvl w:ilvl="0">
      <w:start w:val="1"/>
      <w:numFmt w:val="upperRoman"/>
      <w:lvlText w:val="%1."/>
      <w:lvlJc w:val="righ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6822B3"/>
    <w:multiLevelType w:val="hybridMultilevel"/>
    <w:tmpl w:val="6700FE1C"/>
    <w:lvl w:ilvl="0" w:tplc="766EE2F0">
      <w:start w:val="1"/>
      <w:numFmt w:val="upperRoman"/>
      <w:lvlText w:val="%1."/>
      <w:lvlJc w:val="righ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6F4D64"/>
    <w:multiLevelType w:val="multilevel"/>
    <w:tmpl w:val="ED6AAC02"/>
    <w:lvl w:ilvl="0">
      <w:start w:val="7"/>
      <w:numFmt w:val="upperRoman"/>
      <w:lvlText w:val="%1."/>
      <w:lvlJc w:val="right"/>
      <w:pPr>
        <w:tabs>
          <w:tab w:val="num" w:pos="774"/>
        </w:tabs>
        <w:ind w:left="77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F03419"/>
    <w:multiLevelType w:val="multilevel"/>
    <w:tmpl w:val="2478923C"/>
    <w:lvl w:ilvl="0">
      <w:start w:val="3"/>
      <w:numFmt w:val="upperRoman"/>
      <w:lvlText w:val="%1."/>
      <w:lvlJc w:val="righ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CF22B4"/>
    <w:multiLevelType w:val="hybridMultilevel"/>
    <w:tmpl w:val="2478923C"/>
    <w:lvl w:ilvl="0" w:tplc="14CE97BA">
      <w:start w:val="3"/>
      <w:numFmt w:val="upperRoman"/>
      <w:lvlText w:val="%1."/>
      <w:lvlJc w:val="righ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26581"/>
    <w:multiLevelType w:val="multilevel"/>
    <w:tmpl w:val="AFB41BCA"/>
    <w:lvl w:ilvl="0">
      <w:start w:val="1"/>
      <w:numFmt w:val="upperRoman"/>
      <w:lvlText w:val="%1."/>
      <w:lvlJc w:val="right"/>
      <w:pPr>
        <w:tabs>
          <w:tab w:val="num" w:pos="2376"/>
        </w:tabs>
        <w:ind w:left="237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D3306DD"/>
    <w:multiLevelType w:val="multilevel"/>
    <w:tmpl w:val="6700FE1C"/>
    <w:lvl w:ilvl="0">
      <w:start w:val="1"/>
      <w:numFmt w:val="upperRoman"/>
      <w:lvlText w:val="%1."/>
      <w:lvlJc w:val="righ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2D7329"/>
    <w:multiLevelType w:val="hybridMultilevel"/>
    <w:tmpl w:val="80B65092"/>
    <w:lvl w:ilvl="0" w:tplc="6BECD78A">
      <w:start w:val="3"/>
      <w:numFmt w:val="upperRoman"/>
      <w:lvlText w:val="%1."/>
      <w:lvlJc w:val="righ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4D5151"/>
    <w:multiLevelType w:val="multilevel"/>
    <w:tmpl w:val="B0380B6E"/>
    <w:lvl w:ilvl="0">
      <w:start w:val="1"/>
      <w:numFmt w:val="upperRoman"/>
      <w:lvlText w:val="%1."/>
      <w:lvlJc w:val="right"/>
      <w:pPr>
        <w:tabs>
          <w:tab w:val="num" w:pos="288"/>
        </w:tabs>
        <w:ind w:left="288"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FD401A1"/>
    <w:multiLevelType w:val="multilevel"/>
    <w:tmpl w:val="89BA3BAC"/>
    <w:lvl w:ilvl="0">
      <w:start w:val="1"/>
      <w:numFmt w:val="upperRoman"/>
      <w:lvlText w:val="%1."/>
      <w:lvlJc w:val="right"/>
      <w:pPr>
        <w:tabs>
          <w:tab w:val="num" w:pos="432"/>
        </w:tabs>
        <w:ind w:left="432"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B9B2ACF"/>
    <w:multiLevelType w:val="hybridMultilevel"/>
    <w:tmpl w:val="ED6AAC02"/>
    <w:lvl w:ilvl="0" w:tplc="3F805CBC">
      <w:start w:val="7"/>
      <w:numFmt w:val="upperRoman"/>
      <w:lvlText w:val="%1."/>
      <w:lvlJc w:val="right"/>
      <w:pPr>
        <w:tabs>
          <w:tab w:val="num" w:pos="774"/>
        </w:tabs>
        <w:ind w:left="77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8"/>
  </w:num>
  <w:num w:numId="4">
    <w:abstractNumId w:val="9"/>
  </w:num>
  <w:num w:numId="5">
    <w:abstractNumId w:val="10"/>
  </w:num>
  <w:num w:numId="6">
    <w:abstractNumId w:val="2"/>
  </w:num>
  <w:num w:numId="7">
    <w:abstractNumId w:val="4"/>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144C48"/>
    <w:rsid w:val="002238D0"/>
    <w:rsid w:val="003126F4"/>
    <w:rsid w:val="003331FD"/>
    <w:rsid w:val="00373F80"/>
    <w:rsid w:val="003927BE"/>
    <w:rsid w:val="00482CC3"/>
    <w:rsid w:val="004A1561"/>
    <w:rsid w:val="0054783A"/>
    <w:rsid w:val="005C3A61"/>
    <w:rsid w:val="00682BE6"/>
    <w:rsid w:val="007142BC"/>
    <w:rsid w:val="00740914"/>
    <w:rsid w:val="007C6C4D"/>
    <w:rsid w:val="007E48AE"/>
    <w:rsid w:val="008334A6"/>
    <w:rsid w:val="00926CB1"/>
    <w:rsid w:val="00983112"/>
    <w:rsid w:val="00B06523"/>
    <w:rsid w:val="00B6467F"/>
    <w:rsid w:val="00C2111A"/>
    <w:rsid w:val="00EB277D"/>
    <w:rsid w:val="00F7276F"/>
    <w:rsid w:val="00FE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2238D0"/>
    <w:pPr>
      <w:overflowPunct w:val="0"/>
      <w:autoSpaceDE w:val="0"/>
      <w:autoSpaceDN w:val="0"/>
      <w:adjustRightInd w:val="0"/>
      <w:textAlignment w:val="baseline"/>
    </w:pPr>
    <w:rPr>
      <w:szCs w:val="20"/>
    </w:rPr>
  </w:style>
  <w:style w:type="character" w:styleId="Hyperlink">
    <w:name w:val="Hyperlink"/>
    <w:rsid w:val="00FE2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5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A167093E-52F8-4D5B-B6A9-89C6B74003E4}"/>
</file>

<file path=customXml/itemProps2.xml><?xml version="1.0" encoding="utf-8"?>
<ds:datastoreItem xmlns:ds="http://schemas.openxmlformats.org/officeDocument/2006/customXml" ds:itemID="{2CF64012-2D30-4974-8455-DB91DDA8F0F5}"/>
</file>

<file path=customXml/itemProps3.xml><?xml version="1.0" encoding="utf-8"?>
<ds:datastoreItem xmlns:ds="http://schemas.openxmlformats.org/officeDocument/2006/customXml" ds:itemID="{172D08E0-B9C4-4314-8471-6F0E8F505117}"/>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vt:lpstr>
    </vt:vector>
  </TitlesOfParts>
  <Company>Office of Administration</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jsucic</dc:creator>
  <cp:lastModifiedBy>degan</cp:lastModifiedBy>
  <cp:revision>2</cp:revision>
  <cp:lastPrinted>2008-04-11T21:55:00Z</cp:lastPrinted>
  <dcterms:created xsi:type="dcterms:W3CDTF">2015-02-26T20:22:00Z</dcterms:created>
  <dcterms:modified xsi:type="dcterms:W3CDTF">2015-02-26T20:22:00Z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