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3969" w14:textId="77777777" w:rsidR="00126480" w:rsidRDefault="00126480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2AA4A0D1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for labor relations or seniority reporting.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77777777" w:rsidR="00685856" w:rsidRDefault="00FF3A99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Seniority Report Run Schedule</w:t>
      </w:r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4203801B" w14:textId="597A93BC" w:rsidR="00377242" w:rsidRPr="00F46C9B" w:rsidRDefault="00FF3A99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F46C9B">
        <w:rPr>
          <w:rFonts w:ascii="Verdana" w:hAnsi="Verdana" w:cs="Verdana"/>
          <w:sz w:val="20"/>
          <w:szCs w:val="20"/>
        </w:rPr>
        <w:t xml:space="preserve">Information regarding the </w:t>
      </w:r>
      <w:r w:rsidR="002E78F6" w:rsidRPr="00F46C9B">
        <w:rPr>
          <w:rFonts w:ascii="Verdana" w:hAnsi="Verdana" w:cs="Verdana"/>
          <w:sz w:val="20"/>
          <w:szCs w:val="20"/>
        </w:rPr>
        <w:t xml:space="preserve">seniority </w:t>
      </w:r>
      <w:r w:rsidRPr="00F46C9B">
        <w:rPr>
          <w:rFonts w:ascii="Verdana" w:hAnsi="Verdana" w:cs="Verdana"/>
          <w:sz w:val="20"/>
          <w:szCs w:val="20"/>
        </w:rPr>
        <w:t>report run schedule</w:t>
      </w:r>
      <w:r w:rsidR="00D041B4">
        <w:rPr>
          <w:rFonts w:ascii="Verdana" w:hAnsi="Verdana" w:cs="Verdana"/>
          <w:sz w:val="20"/>
          <w:szCs w:val="20"/>
        </w:rPr>
        <w:t xml:space="preserve"> </w:t>
      </w:r>
      <w:r w:rsidRPr="00F46C9B">
        <w:rPr>
          <w:rFonts w:ascii="Verdana" w:hAnsi="Verdana" w:cs="Verdana"/>
          <w:sz w:val="20"/>
          <w:szCs w:val="20"/>
        </w:rPr>
        <w:t xml:space="preserve">for </w:t>
      </w:r>
      <w:r w:rsidR="002A5FEA">
        <w:rPr>
          <w:rFonts w:ascii="Verdana" w:hAnsi="Verdana" w:cs="Verdana"/>
          <w:sz w:val="20"/>
          <w:szCs w:val="20"/>
        </w:rPr>
        <w:t>October</w:t>
      </w:r>
      <w:r w:rsidR="00F46C9B" w:rsidRPr="00F46C9B">
        <w:rPr>
          <w:rFonts w:ascii="Verdana" w:hAnsi="Verdana" w:cs="Verdana"/>
          <w:sz w:val="20"/>
          <w:szCs w:val="20"/>
        </w:rPr>
        <w:t xml:space="preserve"> 20</w:t>
      </w:r>
      <w:r w:rsidR="00DE2C00">
        <w:rPr>
          <w:rFonts w:ascii="Verdana" w:hAnsi="Verdana" w:cs="Verdana"/>
          <w:sz w:val="20"/>
          <w:szCs w:val="20"/>
        </w:rPr>
        <w:t>20</w:t>
      </w:r>
      <w:r w:rsidR="00F46C9B" w:rsidRPr="00F46C9B">
        <w:rPr>
          <w:rFonts w:ascii="Verdana" w:hAnsi="Verdana" w:cs="Verdana"/>
          <w:sz w:val="20"/>
          <w:szCs w:val="20"/>
        </w:rPr>
        <w:t xml:space="preserve"> </w:t>
      </w:r>
    </w:p>
    <w:p w14:paraId="5E01D1E7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06DE83C8" w14:textId="2D506524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Seniority reports are required to be produced and posted in April and October of each year in accordance with applicable bargaining unit agreements. HR offices have been provided an </w:t>
      </w:r>
      <w:hyperlink r:id="rId9" w:history="1">
        <w:r w:rsidR="00B90077" w:rsidRPr="00EE0D34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="00B90077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to run seniority reports and appropriate agency HR personnel have been given security access (Oracle username and password) to run the reports along with a run schedule.  </w:t>
      </w:r>
    </w:p>
    <w:p w14:paraId="2172429C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77221EE" w14:textId="038CEF1B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Users are encouraged to download an updated copy of the seniority database (</w:t>
      </w:r>
      <w:hyperlink r:id="rId10" w:history="1">
        <w:r w:rsidR="00EE0D34" w:rsidRPr="00EE0D34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Pr="00FF3A99">
        <w:rPr>
          <w:rFonts w:ascii="Verdana" w:hAnsi="Verdana" w:cs="Verdana"/>
          <w:sz w:val="20"/>
          <w:szCs w:val="20"/>
        </w:rPr>
        <w:t xml:space="preserve">) prior to running the reports to ensure new promotion/furlough units </w:t>
      </w:r>
      <w:r w:rsidR="00B155AA">
        <w:rPr>
          <w:rFonts w:ascii="Verdana" w:hAnsi="Verdana" w:cs="Verdana"/>
          <w:sz w:val="20"/>
          <w:szCs w:val="20"/>
        </w:rPr>
        <w:br/>
      </w:r>
      <w:r w:rsidRPr="00085CA7">
        <w:rPr>
          <w:rFonts w:ascii="Verdana" w:hAnsi="Verdana" w:cs="Verdana"/>
          <w:sz w:val="20"/>
          <w:szCs w:val="20"/>
        </w:rPr>
        <w:t>are included.</w:t>
      </w:r>
      <w:r w:rsidR="00B155AA" w:rsidRPr="00085CA7">
        <w:rPr>
          <w:rFonts w:ascii="Verdana" w:hAnsi="Verdana" w:cs="Verdana"/>
          <w:sz w:val="20"/>
          <w:szCs w:val="20"/>
        </w:rPr>
        <w:t xml:space="preserve"> </w:t>
      </w:r>
      <w:r w:rsidRPr="00085CA7">
        <w:rPr>
          <w:rFonts w:ascii="Verdana" w:hAnsi="Verdana" w:cs="Verdana"/>
          <w:sz w:val="20"/>
          <w:szCs w:val="20"/>
        </w:rPr>
        <w:t xml:space="preserve">You can find report requirements, schedule reminders and instructions in the </w:t>
      </w:r>
      <w:hyperlink r:id="rId11" w:history="1">
        <w:r w:rsidR="00B90077" w:rsidRPr="00085CA7">
          <w:rPr>
            <w:rStyle w:val="Hyperlink"/>
            <w:rFonts w:ascii="Verdana" w:hAnsi="Verdana" w:cs="Verdana"/>
            <w:sz w:val="20"/>
            <w:szCs w:val="20"/>
          </w:rPr>
          <w:t>user guide</w:t>
        </w:r>
      </w:hyperlink>
      <w:r w:rsidRPr="00085CA7">
        <w:rPr>
          <w:rFonts w:ascii="Verdana" w:hAnsi="Verdana" w:cs="Verdana"/>
          <w:sz w:val="20"/>
          <w:szCs w:val="20"/>
        </w:rPr>
        <w:t>.</w:t>
      </w:r>
    </w:p>
    <w:p w14:paraId="05A4E574" w14:textId="22035408" w:rsidR="00DD2EAE" w:rsidRDefault="00DD2EAE" w:rsidP="00FF3A99">
      <w:pPr>
        <w:rPr>
          <w:rFonts w:ascii="Verdana" w:hAnsi="Verdana" w:cs="Verdana"/>
          <w:sz w:val="20"/>
          <w:szCs w:val="20"/>
        </w:rPr>
      </w:pPr>
    </w:p>
    <w:p w14:paraId="74BB75EB" w14:textId="6DF414AB" w:rsidR="00DD2EAE" w:rsidRDefault="00DD2EAE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Time Services will generate a report for matrixed IT employees. The report will be sent directly to Delivery Center Time Advisors </w:t>
      </w:r>
      <w:r w:rsidR="00C11985">
        <w:rPr>
          <w:rFonts w:ascii="Verdana" w:hAnsi="Verdana" w:cs="Verdana"/>
          <w:sz w:val="20"/>
          <w:szCs w:val="20"/>
        </w:rPr>
        <w:t>later this month</w:t>
      </w:r>
      <w:r>
        <w:rPr>
          <w:rFonts w:ascii="Verdana" w:hAnsi="Verdana" w:cs="Verdana"/>
          <w:sz w:val="20"/>
          <w:szCs w:val="20"/>
        </w:rPr>
        <w:t>.</w:t>
      </w:r>
    </w:p>
    <w:p w14:paraId="17CAE9D9" w14:textId="77777777" w:rsid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7B8B701" w14:textId="77777777" w:rsidR="00EE0D34" w:rsidRPr="00043239" w:rsidRDefault="00EE0D34" w:rsidP="00EE0D34">
      <w:pPr>
        <w:rPr>
          <w:rFonts w:ascii="Verdana" w:hAnsi="Verdana" w:cs="Verdana"/>
          <w:b/>
          <w:bCs/>
          <w:sz w:val="20"/>
          <w:szCs w:val="20"/>
        </w:rPr>
      </w:pPr>
      <w:r w:rsidRPr="00043239">
        <w:rPr>
          <w:rFonts w:ascii="Verdana" w:hAnsi="Verdana" w:cs="Verdana"/>
          <w:b/>
          <w:bCs/>
          <w:sz w:val="20"/>
          <w:szCs w:val="20"/>
        </w:rPr>
        <w:t>Seniority Report Run Schedule</w:t>
      </w:r>
      <w:r>
        <w:rPr>
          <w:rFonts w:ascii="Verdana" w:hAnsi="Verdana" w:cs="Verdana"/>
          <w:b/>
          <w:bCs/>
          <w:sz w:val="20"/>
          <w:szCs w:val="20"/>
        </w:rPr>
        <w:t>, October 2020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1350"/>
        <w:gridCol w:w="1678"/>
        <w:gridCol w:w="1415"/>
      </w:tblGrid>
      <w:tr w:rsidR="00EE0D34" w:rsidRPr="00043239" w14:paraId="66FD39D7" w14:textId="77777777" w:rsidTr="00F45DEF">
        <w:tc>
          <w:tcPr>
            <w:tcW w:w="4845" w:type="dxa"/>
            <w:shd w:val="clear" w:color="auto" w:fill="CCECFF"/>
            <w:vAlign w:val="center"/>
          </w:tcPr>
          <w:p w14:paraId="44517EA6" w14:textId="77777777" w:rsidR="00EE0D34" w:rsidRPr="00043239" w:rsidRDefault="00EE0D34" w:rsidP="00F45DE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Report Name</w:t>
            </w:r>
          </w:p>
        </w:tc>
        <w:tc>
          <w:tcPr>
            <w:tcW w:w="1350" w:type="dxa"/>
            <w:shd w:val="clear" w:color="auto" w:fill="CCECFF"/>
            <w:vAlign w:val="center"/>
          </w:tcPr>
          <w:p w14:paraId="0574859E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Payroll Area</w:t>
            </w:r>
          </w:p>
        </w:tc>
        <w:tc>
          <w:tcPr>
            <w:tcW w:w="1678" w:type="dxa"/>
            <w:shd w:val="clear" w:color="auto" w:fill="CCECFF"/>
            <w:vAlign w:val="center"/>
          </w:tcPr>
          <w:p w14:paraId="6236B3AC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Run Report Between</w:t>
            </w:r>
          </w:p>
        </w:tc>
        <w:tc>
          <w:tcPr>
            <w:tcW w:w="1415" w:type="dxa"/>
            <w:shd w:val="clear" w:color="auto" w:fill="CCECFF"/>
            <w:vAlign w:val="center"/>
          </w:tcPr>
          <w:p w14:paraId="6797ACF1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Data</w:t>
            </w:r>
          </w:p>
          <w:p w14:paraId="40D28320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3239">
              <w:rPr>
                <w:rFonts w:ascii="Verdana" w:hAnsi="Verdana" w:cs="Verdana"/>
                <w:b/>
                <w:bCs/>
                <w:sz w:val="20"/>
                <w:szCs w:val="20"/>
              </w:rPr>
              <w:t>as of</w:t>
            </w:r>
          </w:p>
        </w:tc>
      </w:tr>
      <w:tr w:rsidR="00EE0D34" w:rsidRPr="00043239" w14:paraId="77FDC856" w14:textId="77777777" w:rsidTr="00F45DEF">
        <w:trPr>
          <w:trHeight w:val="576"/>
        </w:trPr>
        <w:tc>
          <w:tcPr>
            <w:tcW w:w="4845" w:type="dxa"/>
            <w:vMerge w:val="restart"/>
            <w:vAlign w:val="center"/>
          </w:tcPr>
          <w:p w14:paraId="1BA0D76E" w14:textId="77777777" w:rsidR="00EE0D34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Furlough Listing - Bargaining Unit Group Date 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>Days or</w:t>
            </w:r>
          </w:p>
          <w:p w14:paraId="04756723" w14:textId="77777777" w:rsidR="00EE0D34" w:rsidRPr="00FE7710" w:rsidRDefault="00EE0D34" w:rsidP="00F45DEF">
            <w:pPr>
              <w:rPr>
                <w:rFonts w:ascii="Verdana" w:hAnsi="Verdana" w:cs="Verdana"/>
                <w:sz w:val="10"/>
                <w:szCs w:val="10"/>
              </w:rPr>
            </w:pPr>
          </w:p>
          <w:p w14:paraId="27026AD4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Promotion Listing - Bargaining Unit Group Days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C91AF0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Z1, T2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 w:rsidRPr="00043239">
              <w:rPr>
                <w:rFonts w:ascii="Verdana" w:hAnsi="Verdana" w:cs="Verdana"/>
                <w:sz w:val="20"/>
                <w:szCs w:val="20"/>
              </w:rPr>
              <w:t xml:space="preserve"> or Z2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2D73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10/05/2020-10/09/2020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AB5A75" w14:textId="77777777" w:rsidR="00EE0D34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10/02/2020</w:t>
            </w:r>
          </w:p>
          <w:p w14:paraId="79BA37DB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</w:tr>
      <w:tr w:rsidR="00EE0D34" w:rsidRPr="00043239" w14:paraId="58F69E41" w14:textId="77777777" w:rsidTr="00F45DEF">
        <w:trPr>
          <w:trHeight w:val="576"/>
        </w:trPr>
        <w:tc>
          <w:tcPr>
            <w:tcW w:w="4845" w:type="dxa"/>
            <w:vMerge/>
            <w:tcBorders>
              <w:bottom w:val="nil"/>
            </w:tcBorders>
            <w:vAlign w:val="center"/>
          </w:tcPr>
          <w:p w14:paraId="5DFB8E24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88E182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Z1, T2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 w:rsidRPr="00043239">
              <w:rPr>
                <w:rFonts w:ascii="Verdana" w:hAnsi="Verdana" w:cs="Verdana"/>
                <w:sz w:val="20"/>
                <w:szCs w:val="20"/>
              </w:rPr>
              <w:t xml:space="preserve"> or Z2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FF752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10/19/2020-10/23/2020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FFB604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10/16/2020</w:t>
            </w:r>
          </w:p>
        </w:tc>
      </w:tr>
      <w:tr w:rsidR="00EE0D34" w:rsidRPr="00043239" w14:paraId="7A8DB79D" w14:textId="77777777" w:rsidTr="00F45DEF">
        <w:trPr>
          <w:trHeight w:val="576"/>
        </w:trPr>
        <w:tc>
          <w:tcPr>
            <w:tcW w:w="4845" w:type="dxa"/>
            <w:vMerge w:val="restart"/>
            <w:shd w:val="clear" w:color="auto" w:fill="E7F6FF"/>
            <w:vAlign w:val="center"/>
          </w:tcPr>
          <w:p w14:paraId="0822058C" w14:textId="77777777" w:rsidR="00EE0D34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Furlough Listing - Bargaining Unit Group Date 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43239">
              <w:rPr>
                <w:rFonts w:ascii="Verdana" w:hAnsi="Verdana" w:cs="Verdana"/>
                <w:sz w:val="20"/>
                <w:szCs w:val="20"/>
              </w:rPr>
              <w:t xml:space="preserve">Days or </w:t>
            </w:r>
          </w:p>
          <w:p w14:paraId="1C3B8ED9" w14:textId="77777777" w:rsidR="00EE0D34" w:rsidRPr="007A4DBB" w:rsidRDefault="00EE0D34" w:rsidP="00F45DEF">
            <w:pPr>
              <w:rPr>
                <w:rFonts w:ascii="Verdana" w:hAnsi="Verdana" w:cs="Verdana"/>
                <w:sz w:val="10"/>
                <w:szCs w:val="10"/>
              </w:rPr>
            </w:pPr>
          </w:p>
          <w:p w14:paraId="33E3DD25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Promotion Listing - Bargaining Unit Group Days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47A7A4C4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0568C242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10/12/2020-10/16/2020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F6FF"/>
            <w:vAlign w:val="center"/>
          </w:tcPr>
          <w:p w14:paraId="1EF1034B" w14:textId="77777777" w:rsidR="00EE0D34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10/09/2020</w:t>
            </w:r>
          </w:p>
          <w:p w14:paraId="1F181942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</w:tr>
      <w:tr w:rsidR="00EE0D34" w:rsidRPr="00043239" w14:paraId="2ED30DA9" w14:textId="77777777" w:rsidTr="00F45DEF">
        <w:trPr>
          <w:trHeight w:val="576"/>
        </w:trPr>
        <w:tc>
          <w:tcPr>
            <w:tcW w:w="4845" w:type="dxa"/>
            <w:vMerge/>
            <w:tcBorders>
              <w:bottom w:val="nil"/>
            </w:tcBorders>
            <w:shd w:val="clear" w:color="auto" w:fill="E7F6FF"/>
            <w:vAlign w:val="center"/>
          </w:tcPr>
          <w:p w14:paraId="29C9FC8B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44EA39BC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68B5C7F2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10/26/2020-10/30/2020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  <w:vAlign w:val="center"/>
          </w:tcPr>
          <w:p w14:paraId="20C48946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10/23/2020</w:t>
            </w:r>
          </w:p>
        </w:tc>
      </w:tr>
      <w:tr w:rsidR="00EE0D34" w:rsidRPr="00043239" w14:paraId="31B03F0E" w14:textId="77777777" w:rsidTr="00F45DEF">
        <w:trPr>
          <w:trHeight w:val="576"/>
        </w:trPr>
        <w:tc>
          <w:tcPr>
            <w:tcW w:w="4845" w:type="dxa"/>
            <w:vMerge w:val="restart"/>
            <w:vAlign w:val="center"/>
          </w:tcPr>
          <w:p w14:paraId="71BFCDF4" w14:textId="77777777" w:rsidR="00EE0D34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Furlough Listing - Job Days or</w:t>
            </w:r>
          </w:p>
          <w:p w14:paraId="664D075E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420998F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Promotion Listing - Job Days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FD8D1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Z1, T2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 w:rsidRPr="00043239">
              <w:rPr>
                <w:rFonts w:ascii="Verdana" w:hAnsi="Verdana" w:cs="Verdana"/>
                <w:sz w:val="20"/>
                <w:szCs w:val="20"/>
              </w:rPr>
              <w:t xml:space="preserve"> or Z2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A9E9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10/12/2020-10/16/2020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0C1D45" w14:textId="77777777" w:rsidR="00EE0D34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10/02/2020</w:t>
            </w:r>
          </w:p>
          <w:p w14:paraId="66CBC0CC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</w:tr>
      <w:tr w:rsidR="00EE0D34" w:rsidRPr="00043239" w14:paraId="6DC1BE1C" w14:textId="77777777" w:rsidTr="00F45DEF">
        <w:trPr>
          <w:trHeight w:val="576"/>
        </w:trPr>
        <w:tc>
          <w:tcPr>
            <w:tcW w:w="4845" w:type="dxa"/>
            <w:vMerge/>
            <w:vAlign w:val="center"/>
          </w:tcPr>
          <w:p w14:paraId="516FD9F8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9EFC9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Z1, T2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 w:rsidRPr="00043239">
              <w:rPr>
                <w:rFonts w:ascii="Verdana" w:hAnsi="Verdana" w:cs="Verdana"/>
                <w:sz w:val="20"/>
                <w:szCs w:val="20"/>
              </w:rPr>
              <w:t xml:space="preserve"> or Z2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0D30D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10/26/2020-10/30/2020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ED7C2D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10/16/2020</w:t>
            </w:r>
          </w:p>
        </w:tc>
      </w:tr>
      <w:tr w:rsidR="00EE0D34" w:rsidRPr="00043239" w14:paraId="7BB6EF53" w14:textId="77777777" w:rsidTr="00F45DEF">
        <w:trPr>
          <w:trHeight w:val="576"/>
        </w:trPr>
        <w:tc>
          <w:tcPr>
            <w:tcW w:w="4845" w:type="dxa"/>
            <w:vMerge w:val="restart"/>
            <w:shd w:val="clear" w:color="auto" w:fill="E7F6FF"/>
            <w:vAlign w:val="center"/>
          </w:tcPr>
          <w:p w14:paraId="3CA72A70" w14:textId="77777777" w:rsidR="00EE0D34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Furlough Listing - Job Days or</w:t>
            </w:r>
          </w:p>
          <w:p w14:paraId="7413E4AC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A38A075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Promotion Listing - Job Days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297079A7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AF7CAA4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6F25E0A6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10/19/2020-10/23/2020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F6FF"/>
            <w:vAlign w:val="center"/>
          </w:tcPr>
          <w:p w14:paraId="1B282FCD" w14:textId="77777777" w:rsidR="00EE0D34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10/09/2020</w:t>
            </w:r>
          </w:p>
          <w:p w14:paraId="6FBE89BC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</w:tr>
      <w:tr w:rsidR="00EE0D34" w:rsidRPr="00043239" w14:paraId="027C3674" w14:textId="77777777" w:rsidTr="00F45DEF">
        <w:trPr>
          <w:trHeight w:val="576"/>
        </w:trPr>
        <w:tc>
          <w:tcPr>
            <w:tcW w:w="4845" w:type="dxa"/>
            <w:vMerge/>
            <w:shd w:val="clear" w:color="auto" w:fill="E7F6FF"/>
            <w:vAlign w:val="center"/>
          </w:tcPr>
          <w:p w14:paraId="34083113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394F6B5D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 w:rsidRPr="0004323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14:paraId="36D690DF" w14:textId="77777777" w:rsidR="00EE0D34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11/02/2020-</w:t>
            </w:r>
          </w:p>
          <w:p w14:paraId="60809CCB" w14:textId="77777777" w:rsidR="00EE0D34" w:rsidRPr="00043239" w:rsidRDefault="00EE0D34" w:rsidP="00F45D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11/06/2020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E7F6FF"/>
            <w:vAlign w:val="center"/>
          </w:tcPr>
          <w:p w14:paraId="410BF329" w14:textId="77777777" w:rsidR="00EE0D34" w:rsidRPr="00043239" w:rsidRDefault="00EE0D34" w:rsidP="00F45D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10/23/2020</w:t>
            </w:r>
          </w:p>
        </w:tc>
      </w:tr>
    </w:tbl>
    <w:p w14:paraId="7241A959" w14:textId="77777777" w:rsidR="00EE0D34" w:rsidRDefault="00EE0D34" w:rsidP="00EE0D34">
      <w:pPr>
        <w:rPr>
          <w:rFonts w:ascii="Verdana" w:hAnsi="Verdana" w:cs="Verdana"/>
          <w:sz w:val="20"/>
          <w:szCs w:val="20"/>
        </w:rPr>
      </w:pPr>
    </w:p>
    <w:p w14:paraId="517AE765" w14:textId="77777777" w:rsidR="00EE0D34" w:rsidRDefault="00EE0D34" w:rsidP="00FF3A99">
      <w:pPr>
        <w:rPr>
          <w:rFonts w:ascii="Verdana" w:hAnsi="Verdana" w:cs="Verdana"/>
          <w:b/>
          <w:bCs/>
          <w:sz w:val="20"/>
          <w:szCs w:val="20"/>
        </w:rPr>
      </w:pPr>
    </w:p>
    <w:p w14:paraId="30A708D9" w14:textId="0C5FC7A6" w:rsidR="00681436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As a reminder, when there is a holiday, seniority does not update in SAP until the day after payroll runs. For example, if payroll runs on Wednesday due to a Monday holiday, SAP seniority will not update until Thursday night. </w:t>
      </w:r>
    </w:p>
    <w:p w14:paraId="317D975A" w14:textId="77777777" w:rsidR="00DD2EAE" w:rsidRDefault="00DD2EAE" w:rsidP="00FF3A99">
      <w:pPr>
        <w:rPr>
          <w:rFonts w:ascii="Verdana" w:hAnsi="Verdana" w:cs="Verdana"/>
          <w:sz w:val="20"/>
          <w:szCs w:val="20"/>
        </w:rPr>
      </w:pPr>
    </w:p>
    <w:p w14:paraId="130B42A1" w14:textId="77777777" w:rsidR="00681436" w:rsidRPr="00681436" w:rsidRDefault="00681436" w:rsidP="00FF3A99">
      <w:pPr>
        <w:rPr>
          <w:rFonts w:ascii="Verdana" w:hAnsi="Verdana" w:cs="Verdana"/>
          <w:b/>
          <w:sz w:val="20"/>
          <w:szCs w:val="20"/>
        </w:rPr>
      </w:pPr>
      <w:r w:rsidRPr="00681436">
        <w:rPr>
          <w:rFonts w:ascii="Verdana" w:hAnsi="Verdana" w:cs="Verdana"/>
          <w:b/>
          <w:sz w:val="20"/>
          <w:szCs w:val="20"/>
        </w:rPr>
        <w:t>Requirements Questions</w:t>
      </w:r>
    </w:p>
    <w:p w14:paraId="7055AFD3" w14:textId="0BE2668E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For assistance on data corrections </w:t>
      </w:r>
      <w:r w:rsidR="00972A65">
        <w:rPr>
          <w:rFonts w:ascii="Verdana" w:hAnsi="Verdana" w:cs="Verdana"/>
          <w:sz w:val="20"/>
          <w:szCs w:val="20"/>
        </w:rPr>
        <w:t>and calculations, contact your 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 xml:space="preserve">elations staff or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oordinator. If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>elations staff needs assistance on contract interpretations, they should contact OA</w:t>
      </w:r>
      <w:r w:rsidR="0005543D">
        <w:rPr>
          <w:rFonts w:ascii="Verdana" w:hAnsi="Verdana" w:cs="Verdana"/>
          <w:sz w:val="20"/>
          <w:szCs w:val="20"/>
        </w:rPr>
        <w:t>,</w:t>
      </w:r>
      <w:r w:rsidRPr="00FF3A99">
        <w:rPr>
          <w:rFonts w:ascii="Verdana" w:hAnsi="Verdana" w:cs="Verdana"/>
          <w:sz w:val="20"/>
          <w:szCs w:val="20"/>
        </w:rPr>
        <w:t xml:space="preserve"> Bureau of Labor Relations</w:t>
      </w:r>
      <w:r w:rsidR="00972A65">
        <w:rPr>
          <w:rFonts w:ascii="Verdana" w:hAnsi="Verdana" w:cs="Verdana"/>
          <w:sz w:val="20"/>
          <w:szCs w:val="20"/>
        </w:rPr>
        <w:t xml:space="preserve"> at 717.787.5514</w:t>
      </w:r>
      <w:r w:rsidRPr="00FF3A99">
        <w:rPr>
          <w:rFonts w:ascii="Verdana" w:hAnsi="Verdana" w:cs="Verdana"/>
          <w:sz w:val="20"/>
          <w:szCs w:val="20"/>
        </w:rPr>
        <w:t>. </w:t>
      </w:r>
    </w:p>
    <w:p w14:paraId="22471203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1B8AC759" w14:textId="5E66ADEA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Seniority Report Questions</w:t>
      </w:r>
      <w:r w:rsidRPr="00FF3A99">
        <w:rPr>
          <w:rFonts w:ascii="Verdana" w:hAnsi="Verdana" w:cs="Verdana"/>
          <w:sz w:val="20"/>
          <w:szCs w:val="20"/>
        </w:rPr>
        <w:br/>
        <w:t xml:space="preserve">Agency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oordinators with questions on the report run schedule should 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454F9D" w:rsidRPr="00DB4CAF">
          <w:rPr>
            <w:rFonts w:ascii="Verdana" w:hAnsi="Verdana"/>
            <w:b/>
            <w:color w:val="0000FF"/>
            <w:sz w:val="20"/>
            <w:szCs w:val="20"/>
            <w:u w:val="single"/>
          </w:rPr>
          <w:t>HR help desk ticket</w:t>
        </w:r>
      </w:hyperlink>
      <w:r w:rsidR="00454F9D">
        <w:t xml:space="preserve"> </w:t>
      </w:r>
      <w:r w:rsidRPr="00FF3A99">
        <w:rPr>
          <w:rFonts w:ascii="Verdana" w:hAnsi="Verdana" w:cs="Verdana"/>
          <w:sz w:val="20"/>
          <w:szCs w:val="20"/>
        </w:rPr>
        <w:t>in the time category</w:t>
      </w:r>
      <w:r w:rsidR="00972A65">
        <w:rPr>
          <w:rFonts w:ascii="Verdana" w:hAnsi="Verdana" w:cs="Verdana"/>
          <w:sz w:val="20"/>
          <w:szCs w:val="20"/>
        </w:rPr>
        <w:t xml:space="preserve"> 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77F63412" w14:textId="447554A6" w:rsidR="00FF3A99" w:rsidRPr="00FF3A99" w:rsidRDefault="00416E40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Technical</w:t>
      </w:r>
      <w:r w:rsidR="00FF3A99" w:rsidRPr="00FF3A99">
        <w:rPr>
          <w:rFonts w:ascii="Verdana" w:hAnsi="Verdana" w:cs="Verdana"/>
          <w:b/>
          <w:bCs/>
          <w:sz w:val="20"/>
          <w:szCs w:val="20"/>
        </w:rPr>
        <w:t xml:space="preserve"> Questions</w:t>
      </w:r>
      <w:r w:rsidR="00FF3A99" w:rsidRPr="00FF3A9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If you </w:t>
      </w:r>
      <w:r w:rsidR="001B49EF">
        <w:rPr>
          <w:rFonts w:ascii="Verdana" w:hAnsi="Verdana" w:cs="Verdana"/>
          <w:sz w:val="20"/>
          <w:szCs w:val="20"/>
        </w:rPr>
        <w:t>have</w:t>
      </w:r>
      <w:r w:rsidR="00126480">
        <w:rPr>
          <w:rFonts w:ascii="Verdana" w:hAnsi="Verdana" w:cs="Verdana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 xml:space="preserve">rouble running the reports or issues </w:t>
      </w:r>
      <w:r w:rsidR="00024713">
        <w:rPr>
          <w:rFonts w:ascii="Verdana" w:hAnsi="Verdana" w:cs="Verdana"/>
          <w:sz w:val="20"/>
          <w:szCs w:val="20"/>
        </w:rPr>
        <w:t>with</w:t>
      </w:r>
      <w:r>
        <w:rPr>
          <w:rFonts w:ascii="Verdana" w:hAnsi="Verdana" w:cs="Verdana"/>
          <w:sz w:val="20"/>
          <w:szCs w:val="20"/>
        </w:rPr>
        <w:t xml:space="preserve"> </w:t>
      </w:r>
      <w:r w:rsidR="00024713">
        <w:rPr>
          <w:rFonts w:ascii="Verdana" w:hAnsi="Verdana" w:cs="Verdana"/>
          <w:sz w:val="20"/>
          <w:szCs w:val="20"/>
        </w:rPr>
        <w:t>accessing the</w:t>
      </w:r>
      <w:r>
        <w:rPr>
          <w:rFonts w:ascii="Verdana" w:hAnsi="Verdana" w:cs="Verdana"/>
          <w:sz w:val="20"/>
          <w:szCs w:val="20"/>
        </w:rPr>
        <w:t xml:space="preserve"> reports, y</w:t>
      </w:r>
      <w:r w:rsidR="00FF3A99" w:rsidRPr="00FF3A99">
        <w:rPr>
          <w:rFonts w:ascii="Verdana" w:hAnsi="Verdana" w:cs="Verdana"/>
          <w:sz w:val="20"/>
          <w:szCs w:val="20"/>
        </w:rPr>
        <w:t xml:space="preserve">ou may </w:t>
      </w:r>
      <w:r w:rsidR="00024713">
        <w:rPr>
          <w:rFonts w:ascii="Verdana" w:hAnsi="Verdana" w:cs="Verdana"/>
          <w:sz w:val="20"/>
          <w:szCs w:val="20"/>
        </w:rPr>
        <w:t>submit a HR help desk ticket in the HR Applications Support category.</w:t>
      </w:r>
    </w:p>
    <w:sectPr w:rsidR="00FF3A99" w:rsidRPr="00FF3A99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6F3AB59" w14:textId="1D013792" w:rsidR="00D96AFB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</w:t>
    </w:r>
    <w:r w:rsidR="00DE2C00">
      <w:rPr>
        <w:rFonts w:ascii="Verdana" w:hAnsi="Verdana" w:cs="Arial"/>
        <w:b/>
        <w:bCs/>
        <w:sz w:val="28"/>
        <w:szCs w:val="28"/>
      </w:rPr>
      <w:t>20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D96AFB">
      <w:rPr>
        <w:rFonts w:ascii="Verdana" w:hAnsi="Verdana" w:cs="Arial"/>
        <w:b/>
        <w:bCs/>
        <w:sz w:val="28"/>
        <w:szCs w:val="28"/>
      </w:rPr>
      <w:t>28</w:t>
    </w:r>
  </w:p>
  <w:p w14:paraId="1BF92086" w14:textId="297BEFAD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D96AFB">
      <w:rPr>
        <w:rFonts w:ascii="Verdana" w:hAnsi="Verdana" w:cs="Arial"/>
        <w:sz w:val="20"/>
        <w:szCs w:val="20"/>
      </w:rPr>
      <w:t>09</w:t>
    </w:r>
    <w:r w:rsidR="00866F70">
      <w:rPr>
        <w:rFonts w:ascii="Verdana" w:hAnsi="Verdana" w:cs="Arial"/>
        <w:sz w:val="20"/>
        <w:szCs w:val="20"/>
      </w:rPr>
      <w:t>.</w:t>
    </w:r>
    <w:r w:rsidR="00EE0D34">
      <w:rPr>
        <w:rFonts w:ascii="Verdana" w:hAnsi="Verdana" w:cs="Arial"/>
        <w:sz w:val="20"/>
        <w:szCs w:val="20"/>
      </w:rPr>
      <w:t>30</w:t>
    </w:r>
    <w:r w:rsidR="00012315">
      <w:rPr>
        <w:rFonts w:ascii="Verdana" w:hAnsi="Verdana" w:cs="Arial"/>
        <w:sz w:val="20"/>
        <w:szCs w:val="20"/>
      </w:rPr>
      <w:t>.</w:t>
    </w:r>
    <w:r w:rsidR="00D96AFB">
      <w:rPr>
        <w:rFonts w:ascii="Verdana" w:hAnsi="Verdana" w:cs="Arial"/>
        <w:sz w:val="20"/>
        <w:szCs w:val="20"/>
      </w:rPr>
      <w:t>20</w:t>
    </w:r>
    <w:r w:rsidR="00DE2C00">
      <w:rPr>
        <w:rFonts w:ascii="Verdana" w:hAnsi="Verdana" w:cs="Arial"/>
        <w:sz w:val="20"/>
        <w:szCs w:val="20"/>
      </w:rPr>
      <w:t>20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  <w:t>Rescinds Time Alert 20</w:t>
    </w:r>
    <w:r w:rsidR="00DE2C00">
      <w:rPr>
        <w:rFonts w:ascii="Verdana" w:hAnsi="Verdana" w:cs="Arial"/>
        <w:sz w:val="20"/>
        <w:szCs w:val="20"/>
      </w:rPr>
      <w:t>20</w:t>
    </w:r>
    <w:r w:rsidR="00416E40">
      <w:rPr>
        <w:rFonts w:ascii="Verdana" w:hAnsi="Verdana" w:cs="Arial"/>
        <w:sz w:val="20"/>
        <w:szCs w:val="20"/>
      </w:rPr>
      <w:t>-</w:t>
    </w:r>
    <w:r w:rsidR="00DE2C00">
      <w:rPr>
        <w:rFonts w:ascii="Verdana" w:hAnsi="Verdana" w:cs="Arial"/>
        <w:sz w:val="20"/>
        <w:szCs w:val="20"/>
      </w:rPr>
      <w:t>17</w:t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4713"/>
    <w:rsid w:val="00037332"/>
    <w:rsid w:val="00041A44"/>
    <w:rsid w:val="0005543D"/>
    <w:rsid w:val="00066112"/>
    <w:rsid w:val="000677CE"/>
    <w:rsid w:val="00085CA7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7E8E"/>
    <w:rsid w:val="0011336B"/>
    <w:rsid w:val="00114CE1"/>
    <w:rsid w:val="00123562"/>
    <w:rsid w:val="00126480"/>
    <w:rsid w:val="00135131"/>
    <w:rsid w:val="00142029"/>
    <w:rsid w:val="00143B6D"/>
    <w:rsid w:val="00163F86"/>
    <w:rsid w:val="00175C94"/>
    <w:rsid w:val="00183489"/>
    <w:rsid w:val="00187573"/>
    <w:rsid w:val="00194B6C"/>
    <w:rsid w:val="001A635E"/>
    <w:rsid w:val="001B2DEB"/>
    <w:rsid w:val="001B3B1F"/>
    <w:rsid w:val="001B49EF"/>
    <w:rsid w:val="001C0121"/>
    <w:rsid w:val="001D27AD"/>
    <w:rsid w:val="001E5838"/>
    <w:rsid w:val="001F3743"/>
    <w:rsid w:val="00204AB0"/>
    <w:rsid w:val="002473A6"/>
    <w:rsid w:val="00254EAB"/>
    <w:rsid w:val="00257C06"/>
    <w:rsid w:val="00261AF4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A5FEA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6377D"/>
    <w:rsid w:val="00363E80"/>
    <w:rsid w:val="00372724"/>
    <w:rsid w:val="00377242"/>
    <w:rsid w:val="00380B94"/>
    <w:rsid w:val="00387972"/>
    <w:rsid w:val="003A7A9C"/>
    <w:rsid w:val="003C3E6F"/>
    <w:rsid w:val="003D3C16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E40"/>
    <w:rsid w:val="004231E8"/>
    <w:rsid w:val="00427955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E1A78"/>
    <w:rsid w:val="00517E5B"/>
    <w:rsid w:val="00525B66"/>
    <w:rsid w:val="00526EB1"/>
    <w:rsid w:val="00531D0D"/>
    <w:rsid w:val="005420FE"/>
    <w:rsid w:val="00557B92"/>
    <w:rsid w:val="00561F4C"/>
    <w:rsid w:val="00571508"/>
    <w:rsid w:val="00575F1A"/>
    <w:rsid w:val="00581953"/>
    <w:rsid w:val="00581A5F"/>
    <w:rsid w:val="005A583C"/>
    <w:rsid w:val="005C0E77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465F2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4ADD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42A8"/>
    <w:rsid w:val="00725A65"/>
    <w:rsid w:val="00740D43"/>
    <w:rsid w:val="00755125"/>
    <w:rsid w:val="00761E16"/>
    <w:rsid w:val="00781D8D"/>
    <w:rsid w:val="00792831"/>
    <w:rsid w:val="007A4A1D"/>
    <w:rsid w:val="007A6E94"/>
    <w:rsid w:val="007B1C44"/>
    <w:rsid w:val="007B23C1"/>
    <w:rsid w:val="007B4FF2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66F70"/>
    <w:rsid w:val="00892D7C"/>
    <w:rsid w:val="008B2710"/>
    <w:rsid w:val="008B5463"/>
    <w:rsid w:val="008D04D2"/>
    <w:rsid w:val="008E042F"/>
    <w:rsid w:val="008F61D5"/>
    <w:rsid w:val="008F71C2"/>
    <w:rsid w:val="00900FC9"/>
    <w:rsid w:val="009045FA"/>
    <w:rsid w:val="00911E3D"/>
    <w:rsid w:val="00927A75"/>
    <w:rsid w:val="00944F2D"/>
    <w:rsid w:val="009561C3"/>
    <w:rsid w:val="00971D59"/>
    <w:rsid w:val="00972A65"/>
    <w:rsid w:val="0098040A"/>
    <w:rsid w:val="00981D1D"/>
    <w:rsid w:val="00982221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6566"/>
    <w:rsid w:val="00A17DBF"/>
    <w:rsid w:val="00A256E4"/>
    <w:rsid w:val="00A26CEA"/>
    <w:rsid w:val="00A416A3"/>
    <w:rsid w:val="00A43D87"/>
    <w:rsid w:val="00A6071E"/>
    <w:rsid w:val="00A82449"/>
    <w:rsid w:val="00A85CEE"/>
    <w:rsid w:val="00A92752"/>
    <w:rsid w:val="00A9430B"/>
    <w:rsid w:val="00AA09D9"/>
    <w:rsid w:val="00AA24A0"/>
    <w:rsid w:val="00AA4B7F"/>
    <w:rsid w:val="00AB2D70"/>
    <w:rsid w:val="00AC1A15"/>
    <w:rsid w:val="00AC2F4B"/>
    <w:rsid w:val="00AC4B6F"/>
    <w:rsid w:val="00AD22B0"/>
    <w:rsid w:val="00AD38C5"/>
    <w:rsid w:val="00AD4532"/>
    <w:rsid w:val="00AE3238"/>
    <w:rsid w:val="00AF44A6"/>
    <w:rsid w:val="00B070F3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51FE"/>
    <w:rsid w:val="00B57E09"/>
    <w:rsid w:val="00B653EB"/>
    <w:rsid w:val="00B84B15"/>
    <w:rsid w:val="00B90077"/>
    <w:rsid w:val="00B9185C"/>
    <w:rsid w:val="00BA1206"/>
    <w:rsid w:val="00BA623A"/>
    <w:rsid w:val="00BC08E6"/>
    <w:rsid w:val="00BC2E24"/>
    <w:rsid w:val="00BC3A41"/>
    <w:rsid w:val="00BD051B"/>
    <w:rsid w:val="00BD0E3C"/>
    <w:rsid w:val="00BE5A9B"/>
    <w:rsid w:val="00BF47D0"/>
    <w:rsid w:val="00BF6ADE"/>
    <w:rsid w:val="00BF7E99"/>
    <w:rsid w:val="00C0693F"/>
    <w:rsid w:val="00C11985"/>
    <w:rsid w:val="00C13502"/>
    <w:rsid w:val="00C26D8E"/>
    <w:rsid w:val="00C26F35"/>
    <w:rsid w:val="00C37928"/>
    <w:rsid w:val="00C45A32"/>
    <w:rsid w:val="00C45B7D"/>
    <w:rsid w:val="00C5303C"/>
    <w:rsid w:val="00C62637"/>
    <w:rsid w:val="00C7461E"/>
    <w:rsid w:val="00C75B10"/>
    <w:rsid w:val="00C76795"/>
    <w:rsid w:val="00C7709E"/>
    <w:rsid w:val="00C824AB"/>
    <w:rsid w:val="00C8765C"/>
    <w:rsid w:val="00C9010D"/>
    <w:rsid w:val="00C9285D"/>
    <w:rsid w:val="00C928E2"/>
    <w:rsid w:val="00C977C2"/>
    <w:rsid w:val="00CA64FE"/>
    <w:rsid w:val="00CC022A"/>
    <w:rsid w:val="00CC3529"/>
    <w:rsid w:val="00CD3042"/>
    <w:rsid w:val="00CD4DF1"/>
    <w:rsid w:val="00CD6CB5"/>
    <w:rsid w:val="00CF44B8"/>
    <w:rsid w:val="00D041B4"/>
    <w:rsid w:val="00D16C5E"/>
    <w:rsid w:val="00D2172A"/>
    <w:rsid w:val="00D31F60"/>
    <w:rsid w:val="00D32413"/>
    <w:rsid w:val="00D37D66"/>
    <w:rsid w:val="00D422E4"/>
    <w:rsid w:val="00D46504"/>
    <w:rsid w:val="00D52F2E"/>
    <w:rsid w:val="00D73BE3"/>
    <w:rsid w:val="00D74829"/>
    <w:rsid w:val="00D96AFB"/>
    <w:rsid w:val="00D973B4"/>
    <w:rsid w:val="00DA33AF"/>
    <w:rsid w:val="00DB4CAF"/>
    <w:rsid w:val="00DB53B0"/>
    <w:rsid w:val="00DB5A17"/>
    <w:rsid w:val="00DB5E76"/>
    <w:rsid w:val="00DC2C7D"/>
    <w:rsid w:val="00DC467C"/>
    <w:rsid w:val="00DD2EAE"/>
    <w:rsid w:val="00DD3D5B"/>
    <w:rsid w:val="00DE0508"/>
    <w:rsid w:val="00DE2C00"/>
    <w:rsid w:val="00DE697D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7139F"/>
    <w:rsid w:val="00E800B7"/>
    <w:rsid w:val="00E91151"/>
    <w:rsid w:val="00E94FDB"/>
    <w:rsid w:val="00EA1752"/>
    <w:rsid w:val="00EB4892"/>
    <w:rsid w:val="00EB4D02"/>
    <w:rsid w:val="00EC04F8"/>
    <w:rsid w:val="00ED5D52"/>
    <w:rsid w:val="00EE0BBB"/>
    <w:rsid w:val="00EE0D34"/>
    <w:rsid w:val="00EE14CE"/>
    <w:rsid w:val="00EE4243"/>
    <w:rsid w:val="00EF09D1"/>
    <w:rsid w:val="00EF1F0D"/>
    <w:rsid w:val="00EF7777"/>
    <w:rsid w:val="00F007DB"/>
    <w:rsid w:val="00F07E13"/>
    <w:rsid w:val="00F15489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rm.oa.pa.gov/Alerts-and-Transactions/Documents/Time%20Alerts/IRIS_Seniority_Database_Guide_09-30-2020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hrm.oa.pa.gov/Alerts-and-Transactions/Documents/Time%20Alerts/seniority_v9-30-2020.accdb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www.hrm.oa.pa.gov/Alerts-and-Transactions/Documents/Time%20Alerts/seniority_v9-30-2020.accdb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2E460-77D3-45A9-969D-9F82574422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54E65A-E837-4C88-9E60-79F235026DCE}"/>
</file>

<file path=customXml/itemProps4.xml><?xml version="1.0" encoding="utf-8"?>
<ds:datastoreItem xmlns:ds="http://schemas.openxmlformats.org/officeDocument/2006/customXml" ds:itemID="{A06D6E1B-0FF0-418C-A454-706C4CDEE2B9}"/>
</file>

<file path=customXml/itemProps5.xml><?xml version="1.0" encoding="utf-8"?>
<ds:datastoreItem xmlns:ds="http://schemas.openxmlformats.org/officeDocument/2006/customXml" ds:itemID="{63002B4D-65FB-4573-82BF-84CB867DEA4C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67</TotalTime>
  <Pages>2</Pages>
  <Words>425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3237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nshoop</cp:lastModifiedBy>
  <cp:revision>10</cp:revision>
  <cp:lastPrinted>2018-04-03T17:27:00Z</cp:lastPrinted>
  <dcterms:created xsi:type="dcterms:W3CDTF">2019-09-16T12:23:00Z</dcterms:created>
  <dcterms:modified xsi:type="dcterms:W3CDTF">2020-09-30T15:00:00Z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68400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