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AB1DD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685BC8E4" w:rsidR="00A669EA" w:rsidRPr="009C625C" w:rsidRDefault="00632207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1CC4">
            <w:rPr>
              <w:rFonts w:ascii="Verdana" w:hAnsi="Verdana" w:cs="Verdana"/>
              <w:b/>
              <w:sz w:val="20"/>
              <w:szCs w:val="20"/>
            </w:rPr>
            <w:t xml:space="preserve">SAP Updated to Reflect </w:t>
          </w:r>
          <w:r w:rsidR="00223BA4">
            <w:rPr>
              <w:rFonts w:ascii="Verdana" w:hAnsi="Verdana" w:cs="Verdana"/>
              <w:b/>
              <w:sz w:val="20"/>
              <w:szCs w:val="20"/>
            </w:rPr>
            <w:t xml:space="preserve">Time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Changes for </w:t>
          </w:r>
          <w:r w:rsidR="00DE5095">
            <w:rPr>
              <w:rFonts w:ascii="Verdana" w:hAnsi="Verdana" w:cs="Verdana"/>
              <w:b/>
              <w:sz w:val="20"/>
              <w:szCs w:val="20"/>
            </w:rPr>
            <w:t>Management</w:t>
          </w:r>
          <w:r w:rsidR="00021A6A">
            <w:rPr>
              <w:rFonts w:ascii="Verdana" w:hAnsi="Verdana" w:cs="Verdana"/>
              <w:b/>
              <w:sz w:val="20"/>
              <w:szCs w:val="20"/>
            </w:rPr>
            <w:t xml:space="preserve"> and Non-Represented Employees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7205B56C" w:rsidR="00377242" w:rsidRPr="009C625C" w:rsidRDefault="00632207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E3FDC">
            <w:rPr>
              <w:rFonts w:ascii="Verdana" w:hAnsi="Verdana" w:cs="Verdana"/>
              <w:sz w:val="20"/>
              <w:szCs w:val="20"/>
            </w:rPr>
            <w:t>Information regarding</w:t>
          </w:r>
          <w:r w:rsidR="00281CC4">
            <w:rPr>
              <w:rFonts w:ascii="Verdana" w:hAnsi="Verdana" w:cs="Verdana"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sz w:val="20"/>
              <w:szCs w:val="20"/>
            </w:rPr>
            <w:t>updates to SAP to</w:t>
          </w:r>
          <w:r w:rsidR="00281CC4">
            <w:rPr>
              <w:rFonts w:ascii="Verdana" w:hAnsi="Verdana" w:cs="Verdana"/>
              <w:sz w:val="20"/>
              <w:szCs w:val="20"/>
            </w:rPr>
            <w:t xml:space="preserve"> reflect</w:t>
          </w:r>
          <w:r w:rsidR="00AE1947">
            <w:rPr>
              <w:rFonts w:ascii="Verdana" w:hAnsi="Verdana" w:cs="Verdana"/>
              <w:sz w:val="20"/>
              <w:szCs w:val="20"/>
            </w:rPr>
            <w:t xml:space="preserve"> </w:t>
          </w:r>
          <w:r w:rsidR="00561F04">
            <w:rPr>
              <w:rFonts w:ascii="Verdana" w:hAnsi="Verdana" w:cs="Verdana"/>
              <w:sz w:val="20"/>
              <w:szCs w:val="20"/>
            </w:rPr>
            <w:t>t</w:t>
          </w:r>
          <w:r w:rsidR="00223BA4">
            <w:rPr>
              <w:rFonts w:ascii="Verdana" w:hAnsi="Verdana" w:cs="Verdana"/>
              <w:sz w:val="20"/>
              <w:szCs w:val="20"/>
            </w:rPr>
            <w:t xml:space="preserve">ime </w:t>
          </w:r>
          <w:r w:rsidR="003E3FDC">
            <w:rPr>
              <w:rFonts w:ascii="Verdana" w:hAnsi="Verdana" w:cs="Verdana"/>
              <w:sz w:val="20"/>
              <w:szCs w:val="20"/>
            </w:rPr>
            <w:t xml:space="preserve">changes for </w:t>
          </w:r>
          <w:r w:rsidR="00021A6A">
            <w:rPr>
              <w:rFonts w:ascii="Verdana" w:hAnsi="Verdana" w:cs="Verdana"/>
              <w:sz w:val="20"/>
              <w:szCs w:val="20"/>
            </w:rPr>
            <w:t>management and non-represented employees.</w:t>
          </w:r>
        </w:sdtContent>
      </w:sdt>
    </w:p>
    <w:p w14:paraId="7F08A98D" w14:textId="77777777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0A5D8169" w14:textId="77777777"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14:paraId="403A3DEF" w14:textId="6630A265" w:rsidR="00B60BCA" w:rsidRDefault="00B60BCA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</w:t>
      </w:r>
      <w:r w:rsidR="00281CC4">
        <w:rPr>
          <w:rFonts w:ascii="Verdana" w:hAnsi="Verdana" w:cs="Verdana"/>
          <w:sz w:val="20"/>
          <w:szCs w:val="20"/>
        </w:rPr>
        <w:t>configuration involving absences, quota and accrual h</w:t>
      </w:r>
      <w:r>
        <w:rPr>
          <w:rFonts w:ascii="Verdana" w:hAnsi="Verdana" w:cs="Verdana"/>
          <w:sz w:val="20"/>
          <w:szCs w:val="20"/>
        </w:rPr>
        <w:t xml:space="preserve">as been updated with the </w:t>
      </w:r>
      <w:r w:rsidR="00021A6A">
        <w:rPr>
          <w:rFonts w:ascii="Verdana" w:hAnsi="Verdana" w:cs="Verdana"/>
          <w:sz w:val="20"/>
          <w:szCs w:val="20"/>
        </w:rPr>
        <w:t xml:space="preserve">time </w:t>
      </w:r>
      <w:r>
        <w:rPr>
          <w:rFonts w:ascii="Verdana" w:hAnsi="Verdana" w:cs="Verdana"/>
          <w:sz w:val="20"/>
          <w:szCs w:val="20"/>
        </w:rPr>
        <w:t xml:space="preserve">changes for </w:t>
      </w:r>
      <w:r w:rsidR="00F04887">
        <w:rPr>
          <w:rFonts w:ascii="Verdana" w:hAnsi="Verdana" w:cs="Verdana"/>
          <w:sz w:val="20"/>
          <w:szCs w:val="20"/>
        </w:rPr>
        <w:t xml:space="preserve">permanent </w:t>
      </w:r>
      <w:r w:rsidR="00021A6A">
        <w:rPr>
          <w:rFonts w:ascii="Verdana" w:hAnsi="Verdana" w:cs="Verdana"/>
          <w:sz w:val="20"/>
          <w:szCs w:val="20"/>
        </w:rPr>
        <w:t>management and non-represented</w:t>
      </w:r>
      <w:r>
        <w:rPr>
          <w:rFonts w:ascii="Verdana" w:hAnsi="Verdana" w:cs="Verdana"/>
          <w:sz w:val="20"/>
          <w:szCs w:val="20"/>
        </w:rPr>
        <w:t xml:space="preserve"> </w:t>
      </w:r>
      <w:r w:rsidR="00021A6A">
        <w:rPr>
          <w:rFonts w:ascii="Verdana" w:hAnsi="Verdana" w:cs="Verdana"/>
          <w:sz w:val="20"/>
          <w:szCs w:val="20"/>
        </w:rPr>
        <w:t>employees for</w:t>
      </w:r>
      <w:r>
        <w:rPr>
          <w:rFonts w:ascii="Verdana" w:hAnsi="Verdana" w:cs="Verdana"/>
          <w:sz w:val="20"/>
          <w:szCs w:val="20"/>
        </w:rPr>
        <w:t xml:space="preserve"> the period of 7/1/201</w:t>
      </w:r>
      <w:r w:rsidR="00FD0C44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 xml:space="preserve"> </w:t>
      </w:r>
      <w:r w:rsidR="00AE1947">
        <w:rPr>
          <w:rFonts w:ascii="Verdana" w:hAnsi="Verdana" w:cs="Verdana"/>
          <w:sz w:val="20"/>
          <w:szCs w:val="20"/>
        </w:rPr>
        <w:t>through</w:t>
      </w:r>
      <w:r>
        <w:rPr>
          <w:rFonts w:ascii="Verdana" w:hAnsi="Verdana" w:cs="Verdana"/>
          <w:sz w:val="20"/>
          <w:szCs w:val="20"/>
        </w:rPr>
        <w:t xml:space="preserve"> 6/30/201</w:t>
      </w:r>
      <w:r w:rsidR="00FD0C44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>.</w:t>
      </w:r>
      <w:r w:rsidR="00281CC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Following is an expl</w:t>
      </w:r>
      <w:r w:rsidR="00561F04">
        <w:rPr>
          <w:rFonts w:ascii="Verdana" w:hAnsi="Verdana" w:cs="Verdana"/>
          <w:sz w:val="20"/>
          <w:szCs w:val="20"/>
        </w:rPr>
        <w:t>anation of the changes.</w:t>
      </w:r>
    </w:p>
    <w:p w14:paraId="1566DAC9" w14:textId="77777777" w:rsidR="00561F04" w:rsidRDefault="00561F04" w:rsidP="00E56507">
      <w:pPr>
        <w:rPr>
          <w:rFonts w:ascii="Verdana" w:hAnsi="Verdana" w:cs="Verdana"/>
          <w:sz w:val="20"/>
          <w:szCs w:val="20"/>
        </w:rPr>
      </w:pPr>
    </w:p>
    <w:p w14:paraId="25E40625" w14:textId="77777777" w:rsidR="00363D4A" w:rsidRPr="00561F04" w:rsidRDefault="00363D4A" w:rsidP="00E56507">
      <w:pPr>
        <w:rPr>
          <w:rFonts w:ascii="Verdana" w:hAnsi="Verdana" w:cs="Verdana"/>
          <w:sz w:val="20"/>
          <w:szCs w:val="20"/>
        </w:rPr>
      </w:pPr>
    </w:p>
    <w:p w14:paraId="37CC8AF7" w14:textId="77777777" w:rsidR="00AD495A" w:rsidRDefault="00AD495A" w:rsidP="00AD495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FD0C44">
        <w:rPr>
          <w:rFonts w:ascii="Verdana" w:hAnsi="Verdana" w:cs="Verdana"/>
          <w:sz w:val="20"/>
          <w:szCs w:val="20"/>
          <w:u w:val="single"/>
        </w:rPr>
        <w:t>Personal Leave</w:t>
      </w:r>
    </w:p>
    <w:p w14:paraId="3CFBF12F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28606E8B" w14:textId="65616143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at the beginning of the 2017 leave calendar year, personal quota </w:t>
      </w:r>
      <w:r w:rsidR="0084608D">
        <w:rPr>
          <w:rFonts w:ascii="Verdana" w:hAnsi="Verdana" w:cs="Verdana"/>
          <w:sz w:val="20"/>
          <w:szCs w:val="20"/>
        </w:rPr>
        <w:t xml:space="preserve">was </w:t>
      </w:r>
      <w:r>
        <w:rPr>
          <w:rFonts w:ascii="Verdana" w:hAnsi="Verdana" w:cs="Verdana"/>
          <w:sz w:val="20"/>
          <w:szCs w:val="20"/>
        </w:rPr>
        <w:t>combined with annual quota, and employees no longer earn personal quota.</w:t>
      </w:r>
    </w:p>
    <w:p w14:paraId="167D9581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6ADD2285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Any unused personal quota from leave calendar year 2016 was converted to anticipated/actual annual quota.  Unused personal quota </w:t>
      </w:r>
      <w:r w:rsidRPr="00785CC6">
        <w:rPr>
          <w:rFonts w:ascii="Verdana" w:hAnsi="Verdana" w:cs="Verdana"/>
          <w:b/>
          <w:sz w:val="20"/>
          <w:szCs w:val="20"/>
          <w:u w:val="single"/>
        </w:rPr>
        <w:t>was not</w:t>
      </w:r>
      <w:r>
        <w:rPr>
          <w:rFonts w:ascii="Verdana" w:hAnsi="Verdana" w:cs="Verdana"/>
          <w:sz w:val="20"/>
          <w:szCs w:val="20"/>
        </w:rPr>
        <w:t xml:space="preserve"> included in the annual extension quota.  </w:t>
      </w:r>
    </w:p>
    <w:p w14:paraId="40822C0C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5CE09935" w14:textId="77777777" w:rsidR="00AD495A" w:rsidRPr="00561F04" w:rsidRDefault="00AD495A" w:rsidP="00AD495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>Annual</w:t>
      </w:r>
      <w:r w:rsidRPr="00561F04">
        <w:rPr>
          <w:rFonts w:ascii="Verdana" w:hAnsi="Verdana" w:cs="Verdana"/>
          <w:sz w:val="20"/>
          <w:szCs w:val="20"/>
          <w:u w:val="single"/>
        </w:rPr>
        <w:t xml:space="preserve"> Leave</w:t>
      </w:r>
      <w:r w:rsidRPr="00E45793">
        <w:rPr>
          <w:rFonts w:ascii="Verdana" w:hAnsi="Verdana" w:cs="Verdana"/>
          <w:sz w:val="20"/>
          <w:szCs w:val="20"/>
        </w:rPr>
        <w:t xml:space="preserve"> </w:t>
      </w:r>
    </w:p>
    <w:p w14:paraId="2F625FB8" w14:textId="77777777" w:rsidR="00AD495A" w:rsidRPr="00561F04" w:rsidRDefault="00AD495A" w:rsidP="00AD495A">
      <w:pPr>
        <w:rPr>
          <w:rFonts w:ascii="Verdana" w:hAnsi="Verdana" w:cs="Verdana"/>
          <w:sz w:val="20"/>
          <w:szCs w:val="20"/>
        </w:rPr>
      </w:pPr>
    </w:p>
    <w:p w14:paraId="6BFEEB09" w14:textId="6DE64915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2017 leave calendar year, with the incorporation of personal leave into annual leave, the annual leave accrual rates increased as follows:</w:t>
      </w:r>
    </w:p>
    <w:p w14:paraId="2D8BA644" w14:textId="77777777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7"/>
        <w:gridCol w:w="1795"/>
        <w:gridCol w:w="1805"/>
        <w:gridCol w:w="1805"/>
        <w:gridCol w:w="1788"/>
      </w:tblGrid>
      <w:tr w:rsidR="00AD495A" w14:paraId="1284F688" w14:textId="77777777" w:rsidTr="008C0DC5">
        <w:tc>
          <w:tcPr>
            <w:tcW w:w="1870" w:type="dxa"/>
            <w:shd w:val="clear" w:color="auto" w:fill="D9D9D9" w:themeFill="background1" w:themeFillShade="D9"/>
          </w:tcPr>
          <w:p w14:paraId="61764B0E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6573B">
              <w:rPr>
                <w:rFonts w:ascii="Verdana" w:hAnsi="Verdana" w:cs="Verdana"/>
                <w:sz w:val="20"/>
                <w:szCs w:val="20"/>
              </w:rPr>
              <w:t>Leave Service Credit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122A3573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Earnings Rate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78513CB0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 Hour Employee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5F9229D1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 Hour Employee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055B16C3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Number of Days</w:t>
            </w:r>
          </w:p>
        </w:tc>
      </w:tr>
      <w:tr w:rsidR="00AD495A" w14:paraId="1F7B1369" w14:textId="77777777" w:rsidTr="008C0DC5">
        <w:tc>
          <w:tcPr>
            <w:tcW w:w="1870" w:type="dxa"/>
          </w:tcPr>
          <w:p w14:paraId="11F28205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Up to 3 Years</w:t>
            </w:r>
          </w:p>
        </w:tc>
        <w:tc>
          <w:tcPr>
            <w:tcW w:w="1870" w:type="dxa"/>
          </w:tcPr>
          <w:p w14:paraId="1F72BFA7" w14:textId="51D473CF" w:rsidR="00AD495A" w:rsidRPr="00A6573B" w:rsidRDefault="00021A6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5.39</w:t>
            </w:r>
            <w:r w:rsidR="00AD495A">
              <w:rPr>
                <w:rFonts w:ascii="Verdana" w:hAnsi="Verdana" w:cs="Verdana"/>
                <w:sz w:val="20"/>
                <w:szCs w:val="20"/>
              </w:rPr>
              <w:t>%</w:t>
            </w:r>
          </w:p>
        </w:tc>
        <w:tc>
          <w:tcPr>
            <w:tcW w:w="1870" w:type="dxa"/>
          </w:tcPr>
          <w:p w14:paraId="102F283D" w14:textId="71F93E8C" w:rsidR="00AD495A" w:rsidRPr="00A6573B" w:rsidRDefault="00021A6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4.04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7C2752F8" w14:textId="6251F83B" w:rsidR="00AD495A" w:rsidRPr="00A6573B" w:rsidRDefault="001B4B92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4.31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0BA6F7BF" w14:textId="27F4D5C4" w:rsidR="00AD495A" w:rsidRPr="00A6573B" w:rsidRDefault="00AD495A" w:rsidP="00021A6A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  <w:r w:rsidR="00021A6A">
              <w:rPr>
                <w:rFonts w:ascii="Verdana" w:hAnsi="Verdana" w:cs="Verdana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days</w:t>
            </w:r>
          </w:p>
        </w:tc>
      </w:tr>
      <w:tr w:rsidR="00AD495A" w14:paraId="7A785209" w14:textId="77777777" w:rsidTr="008C0DC5">
        <w:tc>
          <w:tcPr>
            <w:tcW w:w="1870" w:type="dxa"/>
          </w:tcPr>
          <w:p w14:paraId="4FA45F63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Over 3 Years to 15 Years Inclusive</w:t>
            </w:r>
          </w:p>
        </w:tc>
        <w:tc>
          <w:tcPr>
            <w:tcW w:w="1870" w:type="dxa"/>
          </w:tcPr>
          <w:p w14:paraId="6FEC344D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7.32%</w:t>
            </w:r>
          </w:p>
        </w:tc>
        <w:tc>
          <w:tcPr>
            <w:tcW w:w="1870" w:type="dxa"/>
          </w:tcPr>
          <w:p w14:paraId="539F57EC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5.49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22FCCC95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5.86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57412D6B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 days</w:t>
            </w:r>
          </w:p>
        </w:tc>
      </w:tr>
      <w:tr w:rsidR="00AD495A" w14:paraId="2916BB40" w14:textId="77777777" w:rsidTr="008C0DC5">
        <w:tc>
          <w:tcPr>
            <w:tcW w:w="1870" w:type="dxa"/>
          </w:tcPr>
          <w:p w14:paraId="74F0203F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Over 15 Years to 25 Years Inclusive</w:t>
            </w:r>
          </w:p>
        </w:tc>
        <w:tc>
          <w:tcPr>
            <w:tcW w:w="1870" w:type="dxa"/>
          </w:tcPr>
          <w:p w14:paraId="3B121031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9.24%</w:t>
            </w:r>
          </w:p>
        </w:tc>
        <w:tc>
          <w:tcPr>
            <w:tcW w:w="1870" w:type="dxa"/>
          </w:tcPr>
          <w:p w14:paraId="3F03F2A8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6.93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1580DC1E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7.39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0B893083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24 days</w:t>
            </w:r>
          </w:p>
        </w:tc>
      </w:tr>
      <w:tr w:rsidR="00AD495A" w14:paraId="2160C2AD" w14:textId="77777777" w:rsidTr="008C0DC5">
        <w:tc>
          <w:tcPr>
            <w:tcW w:w="1870" w:type="dxa"/>
          </w:tcPr>
          <w:p w14:paraId="681A5FCA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Over 25 Years*</w:t>
            </w:r>
          </w:p>
        </w:tc>
        <w:tc>
          <w:tcPr>
            <w:tcW w:w="1870" w:type="dxa"/>
          </w:tcPr>
          <w:p w14:paraId="56D9A48B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11.55%</w:t>
            </w:r>
          </w:p>
        </w:tc>
        <w:tc>
          <w:tcPr>
            <w:tcW w:w="1870" w:type="dxa"/>
          </w:tcPr>
          <w:p w14:paraId="768A525E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8.66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3386D33D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9.24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5662A500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 days</w:t>
            </w:r>
          </w:p>
        </w:tc>
      </w:tr>
    </w:tbl>
    <w:p w14:paraId="181919E0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1602749A" w14:textId="5FB78192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*For employees hired</w:t>
      </w:r>
      <w:r w:rsidR="00785CC6">
        <w:rPr>
          <w:rFonts w:ascii="Verdana" w:hAnsi="Verdana" w:cs="Verdana"/>
          <w:sz w:val="20"/>
          <w:szCs w:val="20"/>
        </w:rPr>
        <w:t>/rehired</w:t>
      </w:r>
      <w:r>
        <w:rPr>
          <w:rFonts w:ascii="Verdana" w:hAnsi="Verdana" w:cs="Verdana"/>
          <w:sz w:val="20"/>
          <w:szCs w:val="20"/>
        </w:rPr>
        <w:t xml:space="preserve"> prior to July 1, 2011.</w:t>
      </w:r>
    </w:p>
    <w:p w14:paraId="774003B2" w14:textId="77777777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</w:p>
    <w:p w14:paraId="6DDAB601" w14:textId="77777777" w:rsidR="00231E37" w:rsidRPr="00561F04" w:rsidRDefault="00231E37" w:rsidP="00561F0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561F04">
        <w:rPr>
          <w:rFonts w:ascii="Verdana" w:hAnsi="Verdana" w:cs="Verdana"/>
          <w:sz w:val="20"/>
          <w:szCs w:val="20"/>
          <w:u w:val="single"/>
        </w:rPr>
        <w:t xml:space="preserve">Additional </w:t>
      </w:r>
      <w:r w:rsidR="00FD0C44">
        <w:rPr>
          <w:rFonts w:ascii="Verdana" w:hAnsi="Verdana" w:cs="Verdana"/>
          <w:sz w:val="20"/>
          <w:szCs w:val="20"/>
          <w:u w:val="single"/>
        </w:rPr>
        <w:t>Annual</w:t>
      </w:r>
      <w:r w:rsidRPr="00561F04">
        <w:rPr>
          <w:rFonts w:ascii="Verdana" w:hAnsi="Verdana" w:cs="Verdana"/>
          <w:sz w:val="20"/>
          <w:szCs w:val="20"/>
          <w:u w:val="single"/>
        </w:rPr>
        <w:t xml:space="preserve"> Leave Earnings When No </w:t>
      </w:r>
      <w:r w:rsidR="00363D4A" w:rsidRPr="00561F04">
        <w:rPr>
          <w:rFonts w:ascii="Verdana" w:hAnsi="Verdana" w:cs="Verdana"/>
          <w:sz w:val="20"/>
          <w:szCs w:val="20"/>
          <w:u w:val="single"/>
        </w:rPr>
        <w:t>S</w:t>
      </w:r>
      <w:r w:rsidRPr="00561F04">
        <w:rPr>
          <w:rFonts w:ascii="Verdana" w:hAnsi="Verdana" w:cs="Verdana"/>
          <w:sz w:val="20"/>
          <w:szCs w:val="20"/>
          <w:u w:val="single"/>
        </w:rPr>
        <w:t>ick Leave is Used</w:t>
      </w:r>
    </w:p>
    <w:p w14:paraId="7A852564" w14:textId="77777777" w:rsidR="00231E37" w:rsidRPr="00561F04" w:rsidRDefault="00231E37" w:rsidP="00E56507">
      <w:pPr>
        <w:rPr>
          <w:rFonts w:ascii="Verdana" w:hAnsi="Verdana" w:cs="Verdana"/>
          <w:sz w:val="20"/>
          <w:szCs w:val="20"/>
        </w:rPr>
      </w:pPr>
    </w:p>
    <w:p w14:paraId="60F87638" w14:textId="53309C6A" w:rsidR="00231E37" w:rsidRPr="00FD0C44" w:rsidRDefault="00231E37" w:rsidP="00FD0C44">
      <w:pPr>
        <w:pStyle w:val="ListParagraph"/>
        <w:numPr>
          <w:ilvl w:val="0"/>
          <w:numId w:val="38"/>
        </w:numPr>
        <w:rPr>
          <w:rFonts w:ascii="Verdana" w:hAnsi="Verdana" w:cs="Verdana"/>
          <w:sz w:val="20"/>
          <w:szCs w:val="20"/>
        </w:rPr>
      </w:pPr>
      <w:r w:rsidRPr="00FD0C44">
        <w:rPr>
          <w:rFonts w:ascii="Verdana" w:hAnsi="Verdana" w:cs="Verdana"/>
          <w:sz w:val="20"/>
          <w:szCs w:val="20"/>
        </w:rPr>
        <w:t>Effective at the beginning of the 201</w:t>
      </w:r>
      <w:r w:rsidR="00FD0C44" w:rsidRPr="00FD0C44">
        <w:rPr>
          <w:rFonts w:ascii="Verdana" w:hAnsi="Verdana" w:cs="Verdana"/>
          <w:sz w:val="20"/>
          <w:szCs w:val="20"/>
        </w:rPr>
        <w:t>7</w:t>
      </w:r>
      <w:r w:rsidRPr="00FD0C44">
        <w:rPr>
          <w:rFonts w:ascii="Verdana" w:hAnsi="Verdana" w:cs="Verdana"/>
          <w:sz w:val="20"/>
          <w:szCs w:val="20"/>
        </w:rPr>
        <w:t xml:space="preserve"> leave calendar year, </w:t>
      </w:r>
      <w:r w:rsidR="003921B4">
        <w:rPr>
          <w:rFonts w:ascii="Verdana" w:hAnsi="Verdana" w:cs="Verdana"/>
          <w:sz w:val="20"/>
          <w:szCs w:val="20"/>
        </w:rPr>
        <w:t xml:space="preserve">permanent </w:t>
      </w:r>
      <w:r w:rsidRPr="00FD0C44">
        <w:rPr>
          <w:rFonts w:ascii="Verdana" w:hAnsi="Verdana" w:cs="Verdana"/>
          <w:sz w:val="20"/>
          <w:szCs w:val="20"/>
        </w:rPr>
        <w:t xml:space="preserve">employees who use no sick leave in </w:t>
      </w:r>
      <w:r w:rsidR="00FD0C44" w:rsidRPr="00FD0C44">
        <w:rPr>
          <w:rFonts w:ascii="Verdana" w:hAnsi="Verdana" w:cs="Verdana"/>
          <w:sz w:val="20"/>
          <w:szCs w:val="20"/>
        </w:rPr>
        <w:t xml:space="preserve">the first </w:t>
      </w:r>
      <w:r w:rsidR="00785CC6">
        <w:rPr>
          <w:rFonts w:ascii="Verdana" w:hAnsi="Verdana" w:cs="Verdana"/>
          <w:sz w:val="20"/>
          <w:szCs w:val="20"/>
        </w:rPr>
        <w:t xml:space="preserve">half (13 pay periods) </w:t>
      </w:r>
      <w:r w:rsidR="00FD0C44" w:rsidRPr="00FD0C44">
        <w:rPr>
          <w:rFonts w:ascii="Verdana" w:hAnsi="Verdana" w:cs="Verdana"/>
          <w:sz w:val="20"/>
          <w:szCs w:val="20"/>
        </w:rPr>
        <w:t xml:space="preserve">and/or second half of a leave calendar year will earn an additional one-half day (3.75 or 4.0 hours) of annual leave. </w:t>
      </w:r>
      <w:r w:rsidRPr="00FD0C44">
        <w:rPr>
          <w:rFonts w:ascii="Verdana" w:hAnsi="Verdana" w:cs="Verdana"/>
          <w:sz w:val="20"/>
          <w:szCs w:val="20"/>
        </w:rPr>
        <w:t xml:space="preserve">  </w:t>
      </w:r>
      <w:r w:rsidR="00FD0C44" w:rsidRPr="00FD0C44">
        <w:rPr>
          <w:rFonts w:ascii="Verdana" w:hAnsi="Verdana" w:cs="Verdana"/>
          <w:sz w:val="20"/>
          <w:szCs w:val="20"/>
        </w:rPr>
        <w:t xml:space="preserve">The additional earnings will be available for use in the pay period </w:t>
      </w:r>
      <w:r w:rsidR="00FD0C44" w:rsidRPr="00FD0C44">
        <w:rPr>
          <w:rFonts w:ascii="Verdana" w:hAnsi="Verdana" w:cs="Verdana"/>
          <w:sz w:val="20"/>
          <w:szCs w:val="20"/>
        </w:rPr>
        <w:lastRenderedPageBreak/>
        <w:t>following the end of the half leave calendar year</w:t>
      </w:r>
      <w:r w:rsidR="00032F54">
        <w:rPr>
          <w:rFonts w:ascii="Verdana" w:hAnsi="Verdana" w:cs="Verdana"/>
          <w:sz w:val="20"/>
          <w:szCs w:val="20"/>
        </w:rPr>
        <w:t xml:space="preserve"> in which it was earned</w:t>
      </w:r>
      <w:r w:rsidR="00FD0C44" w:rsidRPr="00FD0C44">
        <w:rPr>
          <w:rFonts w:ascii="Verdana" w:hAnsi="Verdana" w:cs="Verdana"/>
          <w:sz w:val="20"/>
          <w:szCs w:val="20"/>
        </w:rPr>
        <w:t xml:space="preserve">. </w:t>
      </w:r>
      <w:r w:rsidR="00363D4A" w:rsidRPr="00FD0C44">
        <w:rPr>
          <w:rFonts w:ascii="Verdana" w:hAnsi="Verdana" w:cs="Verdana"/>
          <w:sz w:val="20"/>
          <w:szCs w:val="20"/>
        </w:rPr>
        <w:t>T</w:t>
      </w:r>
      <w:r w:rsidR="00093182" w:rsidRPr="00FD0C44">
        <w:rPr>
          <w:rFonts w:ascii="Verdana" w:hAnsi="Verdana" w:cs="Verdana"/>
          <w:sz w:val="20"/>
          <w:szCs w:val="20"/>
        </w:rPr>
        <w:t>he following absences types will count as sick leave usage:</w:t>
      </w:r>
    </w:p>
    <w:p w14:paraId="36DC3D27" w14:textId="77777777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3A22CFD8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Sick leave for personal illness</w:t>
      </w:r>
    </w:p>
    <w:p w14:paraId="648C60AB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SPF sick leave</w:t>
      </w:r>
    </w:p>
    <w:p w14:paraId="786559BB" w14:textId="77777777" w:rsidR="00093182" w:rsidRDefault="00561F04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Sick f</w:t>
      </w:r>
      <w:r w:rsidR="00093182">
        <w:rPr>
          <w:rFonts w:ascii="Verdana" w:hAnsi="Verdana" w:cs="Verdana"/>
          <w:sz w:val="20"/>
          <w:szCs w:val="20"/>
        </w:rPr>
        <w:t>amily</w:t>
      </w:r>
    </w:p>
    <w:p w14:paraId="6330646D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Unpaid sick leave for SPF reasons</w:t>
      </w:r>
    </w:p>
    <w:p w14:paraId="52898F6D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Paid/unpaid leave used for work-related injuries</w:t>
      </w:r>
    </w:p>
    <w:p w14:paraId="02501CAC" w14:textId="77777777" w:rsidR="00363D4A" w:rsidRDefault="00363D4A" w:rsidP="00561F04">
      <w:pPr>
        <w:pStyle w:val="ListParagraph"/>
        <w:ind w:left="1800"/>
        <w:rPr>
          <w:rFonts w:ascii="Verdana" w:hAnsi="Verdana" w:cs="Verdana"/>
          <w:sz w:val="20"/>
          <w:szCs w:val="20"/>
        </w:rPr>
      </w:pPr>
    </w:p>
    <w:p w14:paraId="56689E51" w14:textId="2B16A478" w:rsidR="00363D4A" w:rsidRPr="00363D4A" w:rsidRDefault="00363D4A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Note:  Sick </w:t>
      </w:r>
      <w:r w:rsidR="00561F04"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ereavement leave will not count as sick leave usage</w:t>
      </w:r>
      <w:r w:rsidR="00561F04">
        <w:rPr>
          <w:rFonts w:ascii="Verdana" w:hAnsi="Verdana" w:cs="Verdana"/>
          <w:sz w:val="20"/>
          <w:szCs w:val="20"/>
        </w:rPr>
        <w:t>.</w:t>
      </w:r>
    </w:p>
    <w:p w14:paraId="068E6D3D" w14:textId="77777777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</w:p>
    <w:p w14:paraId="21015F2E" w14:textId="5C32A9C7" w:rsidR="00093182" w:rsidRDefault="003921B4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</w:t>
      </w:r>
      <w:r w:rsidR="00093182">
        <w:rPr>
          <w:rFonts w:ascii="Verdana" w:hAnsi="Verdana" w:cs="Verdana"/>
          <w:sz w:val="20"/>
          <w:szCs w:val="20"/>
        </w:rPr>
        <w:t xml:space="preserve">mployees must have at least one year of service since their most recent hire date (as reflected on IT0041/Z2 date) to be eligible to earn additional </w:t>
      </w:r>
      <w:r w:rsidR="00FD0C44">
        <w:rPr>
          <w:rFonts w:ascii="Verdana" w:hAnsi="Verdana" w:cs="Verdana"/>
          <w:sz w:val="20"/>
          <w:szCs w:val="20"/>
        </w:rPr>
        <w:t>annual</w:t>
      </w:r>
      <w:r w:rsidR="00093182">
        <w:rPr>
          <w:rFonts w:ascii="Verdana" w:hAnsi="Verdana" w:cs="Verdana"/>
          <w:sz w:val="20"/>
          <w:szCs w:val="20"/>
        </w:rPr>
        <w:t xml:space="preserve"> leave.  </w:t>
      </w:r>
    </w:p>
    <w:p w14:paraId="2AD29D1D" w14:textId="49380647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</w:p>
    <w:p w14:paraId="0555BD52" w14:textId="0C648CA0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New Time Types have been created to allow users to identify employees who have earned the additional annual hours (PT_BAL00 – Cumulated Time Evaluation Results – Day balances):</w:t>
      </w:r>
    </w:p>
    <w:p w14:paraId="08739E49" w14:textId="2CE1E84F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</w:p>
    <w:p w14:paraId="7199E9C6" w14:textId="7D2DC2AE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ZAHH – </w:t>
      </w:r>
      <w:r w:rsidR="002D6455">
        <w:rPr>
          <w:rFonts w:ascii="Verdana" w:hAnsi="Verdana" w:cs="Verdana"/>
          <w:sz w:val="20"/>
          <w:szCs w:val="20"/>
        </w:rPr>
        <w:t xml:space="preserve">Add. Daily </w:t>
      </w:r>
      <w:proofErr w:type="spellStart"/>
      <w:r w:rsidR="002D6455">
        <w:rPr>
          <w:rFonts w:ascii="Verdana" w:hAnsi="Verdana" w:cs="Verdana"/>
          <w:sz w:val="20"/>
          <w:szCs w:val="20"/>
        </w:rPr>
        <w:t>Hrs</w:t>
      </w:r>
      <w:proofErr w:type="spellEnd"/>
      <w:r w:rsidR="002D6455">
        <w:rPr>
          <w:rFonts w:ascii="Verdana" w:hAnsi="Verdana" w:cs="Verdana"/>
          <w:sz w:val="20"/>
          <w:szCs w:val="20"/>
        </w:rPr>
        <w:t xml:space="preserve"> Holder (</w:t>
      </w:r>
      <w:r w:rsidR="00D66818">
        <w:rPr>
          <w:rFonts w:ascii="Verdana" w:hAnsi="Verdana" w:cs="Verdana"/>
          <w:sz w:val="20"/>
          <w:szCs w:val="20"/>
        </w:rPr>
        <w:t>r</w:t>
      </w:r>
      <w:r w:rsidR="00896241">
        <w:rPr>
          <w:rFonts w:ascii="Verdana" w:hAnsi="Verdana" w:cs="Verdana"/>
          <w:sz w:val="20"/>
          <w:szCs w:val="20"/>
        </w:rPr>
        <w:t>eplaces ZAPL in the cutover leave calendar year</w:t>
      </w:r>
      <w:r w:rsidR="00D66818">
        <w:rPr>
          <w:rFonts w:ascii="Verdana" w:hAnsi="Verdana" w:cs="Verdana"/>
          <w:sz w:val="20"/>
          <w:szCs w:val="20"/>
        </w:rPr>
        <w:t>)</w:t>
      </w:r>
    </w:p>
    <w:p w14:paraId="066D0776" w14:textId="2A1AC37D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ZAQ1 – Ad. Annual Gen. 1</w:t>
      </w:r>
      <w:r w:rsidRPr="00B50247">
        <w:rPr>
          <w:rFonts w:ascii="Verdana" w:hAnsi="Verdana" w:cs="Verdana"/>
          <w:sz w:val="20"/>
          <w:szCs w:val="20"/>
          <w:vertAlign w:val="superscript"/>
        </w:rPr>
        <w:t>st</w:t>
      </w:r>
      <w:r>
        <w:rPr>
          <w:rFonts w:ascii="Verdana" w:hAnsi="Verdana" w:cs="Verdana"/>
          <w:sz w:val="20"/>
          <w:szCs w:val="20"/>
        </w:rPr>
        <w:t xml:space="preserve"> half</w:t>
      </w:r>
    </w:p>
    <w:p w14:paraId="1BB75A98" w14:textId="0C97FBC1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ZAQ2 – Ad. Annual Gen. 2</w:t>
      </w:r>
      <w:r w:rsidRPr="00B50247">
        <w:rPr>
          <w:rFonts w:ascii="Verdana" w:hAnsi="Verdana" w:cs="Verdana"/>
          <w:sz w:val="20"/>
          <w:szCs w:val="20"/>
          <w:vertAlign w:val="superscript"/>
        </w:rPr>
        <w:t>nd</w:t>
      </w:r>
      <w:r>
        <w:rPr>
          <w:rFonts w:ascii="Verdana" w:hAnsi="Verdana" w:cs="Verdana"/>
          <w:sz w:val="20"/>
          <w:szCs w:val="20"/>
        </w:rPr>
        <w:t xml:space="preserve"> half</w:t>
      </w:r>
    </w:p>
    <w:p w14:paraId="6F4BC10D" w14:textId="5DF01E85" w:rsidR="00B50247" w:rsidRP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ZAQB – Add. Annual Both Halves</w:t>
      </w:r>
    </w:p>
    <w:p w14:paraId="4CAD2D05" w14:textId="77777777" w:rsidR="00223BA4" w:rsidRDefault="00223BA4" w:rsidP="00561F04">
      <w:pPr>
        <w:ind w:left="360"/>
        <w:rPr>
          <w:rFonts w:ascii="Verdana" w:hAnsi="Verdana" w:cs="Verdana"/>
          <w:b/>
          <w:sz w:val="20"/>
          <w:szCs w:val="20"/>
          <w:u w:val="single"/>
        </w:rPr>
      </w:pPr>
    </w:p>
    <w:p w14:paraId="1FE9E15E" w14:textId="77777777" w:rsidR="00223BA4" w:rsidRDefault="00223BA4" w:rsidP="00223BA4">
      <w:pPr>
        <w:rPr>
          <w:rFonts w:ascii="Verdana" w:hAnsi="Verdana" w:cs="Verdana"/>
          <w:sz w:val="20"/>
          <w:szCs w:val="20"/>
        </w:rPr>
      </w:pPr>
    </w:p>
    <w:p w14:paraId="6A779E26" w14:textId="77777777" w:rsidR="00223BA4" w:rsidRDefault="00DC59B1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If you have policy questions, please contact </w:t>
      </w:r>
      <w:r w:rsidR="00A6573B">
        <w:rPr>
          <w:rFonts w:ascii="Verdana" w:hAnsi="Verdana" w:cs="Verdana"/>
          <w:sz w:val="20"/>
          <w:szCs w:val="20"/>
        </w:rPr>
        <w:t>Pam Andrews</w:t>
      </w:r>
      <w:r>
        <w:rPr>
          <w:rFonts w:ascii="Verdana" w:hAnsi="Verdana" w:cs="Verdana"/>
          <w:sz w:val="20"/>
          <w:szCs w:val="20"/>
        </w:rPr>
        <w:t xml:space="preserve"> at </w:t>
      </w:r>
      <w:r w:rsidRPr="00A6573B">
        <w:rPr>
          <w:rFonts w:ascii="Verdana" w:hAnsi="Verdana" w:cs="Verdana"/>
          <w:sz w:val="20"/>
          <w:szCs w:val="20"/>
        </w:rPr>
        <w:t>ra-</w:t>
      </w:r>
      <w:r w:rsidR="00A810C1">
        <w:rPr>
          <w:rFonts w:ascii="Verdana" w:hAnsi="Verdana" w:cs="Verdana"/>
          <w:sz w:val="20"/>
          <w:szCs w:val="20"/>
        </w:rPr>
        <w:t>oaleave</w:t>
      </w:r>
      <w:r w:rsidRPr="00A6573B">
        <w:rPr>
          <w:rFonts w:ascii="Verdana" w:hAnsi="Verdana" w:cs="Verdana"/>
          <w:sz w:val="20"/>
          <w:szCs w:val="20"/>
        </w:rPr>
        <w:t>@pa.gov</w:t>
      </w:r>
      <w:r>
        <w:rPr>
          <w:rFonts w:ascii="Verdana" w:hAnsi="Verdana" w:cs="Verdana"/>
          <w:sz w:val="20"/>
          <w:szCs w:val="20"/>
        </w:rPr>
        <w:t xml:space="preserve"> or 717.787.9872.</w:t>
      </w:r>
    </w:p>
    <w:p w14:paraId="09FB1131" w14:textId="77777777" w:rsidR="00DC59B1" w:rsidRDefault="00DC59B1" w:rsidP="00E56507">
      <w:pPr>
        <w:rPr>
          <w:rFonts w:ascii="Verdana" w:hAnsi="Verdana" w:cs="Verdana"/>
          <w:sz w:val="20"/>
          <w:szCs w:val="20"/>
        </w:rPr>
      </w:pPr>
    </w:p>
    <w:p w14:paraId="7FCF422A" w14:textId="77777777" w:rsidR="00CD62C7" w:rsidRPr="009C1B31" w:rsidRDefault="00CD62C7" w:rsidP="00E56507">
      <w:pPr>
        <w:rPr>
          <w:rFonts w:ascii="Verdana" w:hAnsi="Verdana" w:cs="Verdana"/>
          <w:sz w:val="20"/>
          <w:szCs w:val="20"/>
        </w:rPr>
      </w:pPr>
    </w:p>
    <w:p w14:paraId="4D2A3C65" w14:textId="77777777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r w:rsidR="002D15C1">
        <w:rPr>
          <w:rFonts w:ascii="Verdana" w:hAnsi="Verdana" w:cs="Verdana"/>
          <w:sz w:val="20"/>
          <w:szCs w:val="20"/>
        </w:rPr>
        <w:t>this alert</w:t>
      </w:r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8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14CE1">
        <w:rPr>
          <w:rFonts w:ascii="Verdana" w:hAnsi="Verdana" w:cs="Verdana"/>
          <w:sz w:val="20"/>
          <w:szCs w:val="20"/>
        </w:rPr>
        <w:t>time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="00685856" w:rsidRPr="00685856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6465F2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685856">
        <w:rPr>
          <w:rFonts w:ascii="Verdana" w:hAnsi="Verdana" w:cs="Verdana"/>
          <w:sz w:val="20"/>
          <w:szCs w:val="20"/>
        </w:rPr>
        <w:t>Di</w:t>
      </w:r>
      <w:r w:rsidR="00175C94">
        <w:rPr>
          <w:rFonts w:ascii="Verdana" w:hAnsi="Verdana" w:cs="Verdana"/>
          <w:sz w:val="20"/>
          <w:szCs w:val="20"/>
        </w:rPr>
        <w:t>vision at 877.242.6007</w:t>
      </w:r>
      <w:r w:rsidR="00114CE1">
        <w:rPr>
          <w:rFonts w:ascii="Verdana" w:hAnsi="Verdana" w:cs="Verdana"/>
          <w:sz w:val="20"/>
          <w:szCs w:val="20"/>
        </w:rPr>
        <w:t>, Option 2</w:t>
      </w:r>
      <w:r w:rsidR="00685856" w:rsidRPr="00685856">
        <w:rPr>
          <w:rFonts w:ascii="Verdana" w:hAnsi="Verdana" w:cs="Verdana"/>
          <w:sz w:val="20"/>
          <w:szCs w:val="20"/>
        </w:rPr>
        <w:t xml:space="preserve">. </w:t>
      </w:r>
    </w:p>
    <w:sectPr w:rsidR="00377242" w:rsidSect="003772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81170" w14:textId="77777777" w:rsidR="00632207" w:rsidRDefault="00632207">
      <w:r>
        <w:separator/>
      </w:r>
    </w:p>
  </w:endnote>
  <w:endnote w:type="continuationSeparator" w:id="0">
    <w:p w14:paraId="10393B86" w14:textId="77777777" w:rsidR="00632207" w:rsidRDefault="0063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4CC62" w14:textId="45DD2149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7D2F39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88BEA" w14:textId="77777777" w:rsidR="007D2F39" w:rsidRDefault="007D2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063A8" w14:textId="77777777" w:rsidR="00632207" w:rsidRDefault="00632207">
      <w:r>
        <w:separator/>
      </w:r>
    </w:p>
  </w:footnote>
  <w:footnote w:type="continuationSeparator" w:id="0">
    <w:p w14:paraId="0129B4B1" w14:textId="77777777" w:rsidR="00632207" w:rsidRDefault="00632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D4B19" w14:textId="77777777" w:rsidR="007D2F39" w:rsidRDefault="007D2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4BCBB47F" w:rsidR="00E37F42" w:rsidRPr="009C625C" w:rsidRDefault="00632207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565735">
          <w:rPr>
            <w:rFonts w:ascii="Verdana" w:hAnsi="Verdana" w:cs="Arial"/>
            <w:b/>
            <w:bCs/>
            <w:sz w:val="28"/>
            <w:szCs w:val="28"/>
          </w:rPr>
          <w:t>2017-0</w:t>
        </w:r>
        <w:r w:rsidR="007D2F39">
          <w:rPr>
            <w:rFonts w:ascii="Verdana" w:hAnsi="Verdana" w:cs="Arial"/>
            <w:b/>
            <w:bCs/>
            <w:sz w:val="28"/>
            <w:szCs w:val="28"/>
          </w:rPr>
          <w:t>3</w:t>
        </w:r>
      </w:sdtContent>
    </w:sdt>
  </w:p>
  <w:p w14:paraId="57C1C8E0" w14:textId="61A57E9E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Issued </w:t>
    </w:r>
    <w:r w:rsidR="00E80B17">
      <w:rPr>
        <w:rFonts w:ascii="Verdana" w:hAnsi="Verdana" w:cs="Arial"/>
        <w:sz w:val="20"/>
        <w:szCs w:val="20"/>
      </w:rPr>
      <w:t>02.</w:t>
    </w:r>
    <w:r w:rsidR="00565735">
      <w:rPr>
        <w:rFonts w:ascii="Verdana" w:hAnsi="Verdana" w:cs="Arial"/>
        <w:sz w:val="20"/>
        <w:szCs w:val="20"/>
      </w:rPr>
      <w:t>13</w:t>
    </w:r>
    <w:r w:rsidR="00E45793">
      <w:rPr>
        <w:rFonts w:ascii="Verdana" w:hAnsi="Verdana" w:cs="Arial"/>
        <w:sz w:val="20"/>
        <w:szCs w:val="20"/>
      </w:rPr>
      <w:t>.1</w:t>
    </w:r>
    <w:r w:rsidR="00FD0C44">
      <w:rPr>
        <w:rFonts w:ascii="Verdana" w:hAnsi="Verdana" w:cs="Arial"/>
        <w:sz w:val="20"/>
        <w:szCs w:val="20"/>
      </w:rPr>
      <w:t>7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bookmarkStart w:id="0" w:name="_GoBack"/>
    <w:bookmarkEnd w:id="0"/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ECF0F" w14:textId="77777777" w:rsidR="007D2F39" w:rsidRDefault="007D2F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3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7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4"/>
  </w:num>
  <w:num w:numId="4">
    <w:abstractNumId w:val="33"/>
  </w:num>
  <w:num w:numId="5">
    <w:abstractNumId w:val="36"/>
  </w:num>
  <w:num w:numId="6">
    <w:abstractNumId w:val="31"/>
  </w:num>
  <w:num w:numId="7">
    <w:abstractNumId w:val="16"/>
  </w:num>
  <w:num w:numId="8">
    <w:abstractNumId w:val="34"/>
  </w:num>
  <w:num w:numId="9">
    <w:abstractNumId w:val="9"/>
  </w:num>
  <w:num w:numId="10">
    <w:abstractNumId w:val="25"/>
  </w:num>
  <w:num w:numId="11">
    <w:abstractNumId w:val="15"/>
  </w:num>
  <w:num w:numId="12">
    <w:abstractNumId w:val="38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2"/>
  </w:num>
  <w:num w:numId="16">
    <w:abstractNumId w:val="3"/>
  </w:num>
  <w:num w:numId="17">
    <w:abstractNumId w:val="10"/>
  </w:num>
  <w:num w:numId="18">
    <w:abstractNumId w:val="28"/>
  </w:num>
  <w:num w:numId="19">
    <w:abstractNumId w:val="39"/>
  </w:num>
  <w:num w:numId="20">
    <w:abstractNumId w:val="1"/>
  </w:num>
  <w:num w:numId="21">
    <w:abstractNumId w:val="5"/>
  </w:num>
  <w:num w:numId="22">
    <w:abstractNumId w:val="23"/>
  </w:num>
  <w:num w:numId="23">
    <w:abstractNumId w:val="29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0"/>
  </w:num>
  <w:num w:numId="27">
    <w:abstractNumId w:val="19"/>
  </w:num>
  <w:num w:numId="28">
    <w:abstractNumId w:val="13"/>
  </w:num>
  <w:num w:numId="29">
    <w:abstractNumId w:val="22"/>
  </w:num>
  <w:num w:numId="30">
    <w:abstractNumId w:val="27"/>
  </w:num>
  <w:num w:numId="31">
    <w:abstractNumId w:val="37"/>
  </w:num>
  <w:num w:numId="32">
    <w:abstractNumId w:val="7"/>
  </w:num>
  <w:num w:numId="33">
    <w:abstractNumId w:val="20"/>
  </w:num>
  <w:num w:numId="34">
    <w:abstractNumId w:val="6"/>
  </w:num>
  <w:num w:numId="35">
    <w:abstractNumId w:val="8"/>
  </w:num>
  <w:num w:numId="36">
    <w:abstractNumId w:val="35"/>
  </w:num>
  <w:num w:numId="37">
    <w:abstractNumId w:val="4"/>
  </w:num>
  <w:num w:numId="38">
    <w:abstractNumId w:val="32"/>
  </w:num>
  <w:num w:numId="39">
    <w:abstractNumId w:val="40"/>
  </w:num>
  <w:num w:numId="40">
    <w:abstractNumId w:val="1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9C"/>
    <w:rsid w:val="0000600F"/>
    <w:rsid w:val="00010771"/>
    <w:rsid w:val="000128F7"/>
    <w:rsid w:val="00015F8F"/>
    <w:rsid w:val="00017716"/>
    <w:rsid w:val="00017AE2"/>
    <w:rsid w:val="00021A6A"/>
    <w:rsid w:val="00032F54"/>
    <w:rsid w:val="00041A44"/>
    <w:rsid w:val="000677CE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106466"/>
    <w:rsid w:val="0011336B"/>
    <w:rsid w:val="00114CE1"/>
    <w:rsid w:val="00123562"/>
    <w:rsid w:val="00135131"/>
    <w:rsid w:val="00142029"/>
    <w:rsid w:val="00163F86"/>
    <w:rsid w:val="00172103"/>
    <w:rsid w:val="00175C94"/>
    <w:rsid w:val="00175DDB"/>
    <w:rsid w:val="00183489"/>
    <w:rsid w:val="0018579C"/>
    <w:rsid w:val="00194B6C"/>
    <w:rsid w:val="001B3B1F"/>
    <w:rsid w:val="001B4B92"/>
    <w:rsid w:val="001D27AD"/>
    <w:rsid w:val="001E5838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D05F5"/>
    <w:rsid w:val="002D15C1"/>
    <w:rsid w:val="002D5FEF"/>
    <w:rsid w:val="002D6455"/>
    <w:rsid w:val="002E2EC1"/>
    <w:rsid w:val="002E7E5C"/>
    <w:rsid w:val="002F0C17"/>
    <w:rsid w:val="00303D42"/>
    <w:rsid w:val="00303DED"/>
    <w:rsid w:val="00307692"/>
    <w:rsid w:val="003164AD"/>
    <w:rsid w:val="00320821"/>
    <w:rsid w:val="00363D4A"/>
    <w:rsid w:val="00363E80"/>
    <w:rsid w:val="00377242"/>
    <w:rsid w:val="00380B94"/>
    <w:rsid w:val="00387972"/>
    <w:rsid w:val="003921B4"/>
    <w:rsid w:val="003B58FA"/>
    <w:rsid w:val="003D3C16"/>
    <w:rsid w:val="003D5C30"/>
    <w:rsid w:val="003D6BFF"/>
    <w:rsid w:val="003E2C0F"/>
    <w:rsid w:val="003E3FDC"/>
    <w:rsid w:val="003F1703"/>
    <w:rsid w:val="003F28EF"/>
    <w:rsid w:val="003F45B6"/>
    <w:rsid w:val="00406094"/>
    <w:rsid w:val="00412D1B"/>
    <w:rsid w:val="004168B6"/>
    <w:rsid w:val="004231E8"/>
    <w:rsid w:val="00431645"/>
    <w:rsid w:val="00431C2B"/>
    <w:rsid w:val="00464787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D2081"/>
    <w:rsid w:val="004E1A78"/>
    <w:rsid w:val="00517E5B"/>
    <w:rsid w:val="00525B66"/>
    <w:rsid w:val="00526EB1"/>
    <w:rsid w:val="00531D0D"/>
    <w:rsid w:val="005420FE"/>
    <w:rsid w:val="00557B92"/>
    <w:rsid w:val="00561F04"/>
    <w:rsid w:val="00561F4C"/>
    <w:rsid w:val="00565735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2207"/>
    <w:rsid w:val="0063484A"/>
    <w:rsid w:val="006465F2"/>
    <w:rsid w:val="00655AA4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3972"/>
    <w:rsid w:val="006D7B98"/>
    <w:rsid w:val="006E3735"/>
    <w:rsid w:val="006F085B"/>
    <w:rsid w:val="006F7B2C"/>
    <w:rsid w:val="007008F5"/>
    <w:rsid w:val="007109C2"/>
    <w:rsid w:val="007142A8"/>
    <w:rsid w:val="0071732E"/>
    <w:rsid w:val="00725A65"/>
    <w:rsid w:val="00740D43"/>
    <w:rsid w:val="00755125"/>
    <w:rsid w:val="00761E16"/>
    <w:rsid w:val="00781D8D"/>
    <w:rsid w:val="00785C03"/>
    <w:rsid w:val="00785CC6"/>
    <w:rsid w:val="00792831"/>
    <w:rsid w:val="007A4A1D"/>
    <w:rsid w:val="007B1C44"/>
    <w:rsid w:val="007B23C1"/>
    <w:rsid w:val="007B4FF2"/>
    <w:rsid w:val="007D2F39"/>
    <w:rsid w:val="007D4312"/>
    <w:rsid w:val="007D4D67"/>
    <w:rsid w:val="007F0EDA"/>
    <w:rsid w:val="00805703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44F2D"/>
    <w:rsid w:val="009561C3"/>
    <w:rsid w:val="00967480"/>
    <w:rsid w:val="00971D59"/>
    <w:rsid w:val="00981D1D"/>
    <w:rsid w:val="00982221"/>
    <w:rsid w:val="00984676"/>
    <w:rsid w:val="009870B6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3324C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623A"/>
    <w:rsid w:val="00BB31B8"/>
    <w:rsid w:val="00BB37D5"/>
    <w:rsid w:val="00BC08E6"/>
    <w:rsid w:val="00BC2E24"/>
    <w:rsid w:val="00BD051B"/>
    <w:rsid w:val="00BD0E3C"/>
    <w:rsid w:val="00BE5A9B"/>
    <w:rsid w:val="00BF3BB9"/>
    <w:rsid w:val="00BF47D0"/>
    <w:rsid w:val="00BF7E99"/>
    <w:rsid w:val="00C0693F"/>
    <w:rsid w:val="00C11DE5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285D"/>
    <w:rsid w:val="00C928E2"/>
    <w:rsid w:val="00C977C2"/>
    <w:rsid w:val="00CC022A"/>
    <w:rsid w:val="00CD62C7"/>
    <w:rsid w:val="00CD6CB5"/>
    <w:rsid w:val="00CF44B8"/>
    <w:rsid w:val="00D16C5E"/>
    <w:rsid w:val="00D2172A"/>
    <w:rsid w:val="00D31F60"/>
    <w:rsid w:val="00D32413"/>
    <w:rsid w:val="00D37D66"/>
    <w:rsid w:val="00D43BAB"/>
    <w:rsid w:val="00D52BAA"/>
    <w:rsid w:val="00D52F2E"/>
    <w:rsid w:val="00D66818"/>
    <w:rsid w:val="00D74829"/>
    <w:rsid w:val="00DA33AF"/>
    <w:rsid w:val="00DB53B0"/>
    <w:rsid w:val="00DB5A17"/>
    <w:rsid w:val="00DC467C"/>
    <w:rsid w:val="00DC59B1"/>
    <w:rsid w:val="00DD3D5B"/>
    <w:rsid w:val="00DE0508"/>
    <w:rsid w:val="00DE5095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7139F"/>
    <w:rsid w:val="00E800B7"/>
    <w:rsid w:val="00E80B17"/>
    <w:rsid w:val="00E91151"/>
    <w:rsid w:val="00E94FDB"/>
    <w:rsid w:val="00EB18AE"/>
    <w:rsid w:val="00EB4892"/>
    <w:rsid w:val="00EC04F8"/>
    <w:rsid w:val="00ED5D52"/>
    <w:rsid w:val="00EE0BBB"/>
    <w:rsid w:val="00EE14CE"/>
    <w:rsid w:val="00EE4243"/>
    <w:rsid w:val="00F007DB"/>
    <w:rsid w:val="00F034D8"/>
    <w:rsid w:val="00F04887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A169A"/>
    <w:rsid w:val="00FA4911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7E354C"/>
    <w:rsid w:val="0083255E"/>
    <w:rsid w:val="00871851"/>
    <w:rsid w:val="009E6E6D"/>
    <w:rsid w:val="00AC56A4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D633FF0-341C-4BB3-96FD-730213B26195}"/>
</file>

<file path=customXml/itemProps2.xml><?xml version="1.0" encoding="utf-8"?>
<ds:datastoreItem xmlns:ds="http://schemas.openxmlformats.org/officeDocument/2006/customXml" ds:itemID="{C876E0DB-149B-4ADF-882A-7762C0BF7C38}"/>
</file>

<file path=customXml/itemProps3.xml><?xml version="1.0" encoding="utf-8"?>
<ds:datastoreItem xmlns:ds="http://schemas.openxmlformats.org/officeDocument/2006/customXml" ds:itemID="{68CD49F0-BE72-4F56-A1BF-7B700ED52250}"/>
</file>

<file path=customXml/itemProps4.xml><?xml version="1.0" encoding="utf-8"?>
<ds:datastoreItem xmlns:ds="http://schemas.openxmlformats.org/officeDocument/2006/customXml" ds:itemID="{1CF35CA7-8D2D-4DE8-8E33-BE7B4E7E9709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Time Changes for Management and Non-Represented Employees</vt:lpstr>
    </vt:vector>
  </TitlesOfParts>
  <Company>Office of Administration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Time Changes for Management and Non-Represented Employees</dc:title>
  <dc:subject>Information regarding updates to SAP to reflect time changes for management and non-represented employees.</dc:subject>
  <dc:creator>lcohrac</dc:creator>
  <cp:keywords>Description, Keywords, Operations, Personnel Administration</cp:keywords>
  <dc:description/>
  <cp:lastModifiedBy>Egan, Daniel</cp:lastModifiedBy>
  <cp:revision>4</cp:revision>
  <cp:lastPrinted>2012-05-21T15:38:00Z</cp:lastPrinted>
  <dcterms:created xsi:type="dcterms:W3CDTF">2017-02-10T17:03:00Z</dcterms:created>
  <dcterms:modified xsi:type="dcterms:W3CDTF">2017-02-13T16:59:00Z</dcterms:modified>
  <cp:category>Time Alert</cp:category>
  <cp:contentStatus>2017-03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38700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