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02705" w14:textId="1A6882E3" w:rsidR="00A00E2D" w:rsidRPr="00A35968" w:rsidRDefault="00597288" w:rsidP="000872A6">
      <w:pPr>
        <w:pStyle w:val="NoSpacing"/>
        <w:jc w:val="center"/>
        <w:rPr>
          <w:rFonts w:ascii="Verdana" w:hAnsi="Verdana"/>
          <w:b/>
          <w:bCs/>
          <w:sz w:val="24"/>
          <w:szCs w:val="24"/>
        </w:rPr>
      </w:pPr>
      <w:r w:rsidRPr="00A35968">
        <w:rPr>
          <w:rFonts w:ascii="Verdana" w:hAnsi="Verdana"/>
          <w:b/>
          <w:bCs/>
          <w:sz w:val="24"/>
          <w:szCs w:val="24"/>
        </w:rPr>
        <w:t>Emergency FMLA Expansion Act Absences</w:t>
      </w:r>
    </w:p>
    <w:p w14:paraId="0C1ED2F3" w14:textId="1B1E543C" w:rsidR="00E21B3A" w:rsidRPr="00A35968" w:rsidRDefault="000872A6" w:rsidP="000872A6">
      <w:pPr>
        <w:pStyle w:val="NoSpacing"/>
        <w:jc w:val="center"/>
        <w:rPr>
          <w:rFonts w:ascii="Verdana" w:hAnsi="Verdana"/>
          <w:b/>
          <w:bCs/>
          <w:sz w:val="24"/>
          <w:szCs w:val="24"/>
        </w:rPr>
      </w:pPr>
      <w:r w:rsidRPr="00A35968">
        <w:rPr>
          <w:rFonts w:ascii="Verdana" w:hAnsi="Verdana"/>
          <w:b/>
          <w:bCs/>
          <w:sz w:val="24"/>
          <w:szCs w:val="24"/>
        </w:rPr>
        <w:t>Systems Overview</w:t>
      </w:r>
    </w:p>
    <w:p w14:paraId="5F22FBF1" w14:textId="74B82AE3" w:rsidR="00E21B3A" w:rsidRPr="00A35968" w:rsidRDefault="00E21B3A" w:rsidP="00A00E2D">
      <w:pPr>
        <w:ind w:left="720" w:hanging="360"/>
        <w:jc w:val="center"/>
        <w:rPr>
          <w:rFonts w:ascii="Verdana" w:hAnsi="Verdana"/>
          <w:b/>
          <w:bCs/>
          <w:sz w:val="20"/>
          <w:szCs w:val="20"/>
        </w:rPr>
      </w:pPr>
    </w:p>
    <w:p w14:paraId="58522B64" w14:textId="28CF554A" w:rsidR="00337B80" w:rsidRPr="00AA4453" w:rsidRDefault="00337B80" w:rsidP="00337B80">
      <w:pPr>
        <w:ind w:left="360" w:hanging="360"/>
        <w:rPr>
          <w:rFonts w:ascii="Verdana" w:hAnsi="Verdana"/>
          <w:b/>
          <w:bCs/>
          <w:sz w:val="20"/>
          <w:szCs w:val="20"/>
        </w:rPr>
      </w:pPr>
      <w:r w:rsidRPr="00AA4453">
        <w:rPr>
          <w:rFonts w:ascii="Verdana" w:hAnsi="Verdana"/>
          <w:b/>
          <w:bCs/>
          <w:sz w:val="20"/>
          <w:szCs w:val="20"/>
        </w:rPr>
        <w:t>Quota Extensions</w:t>
      </w:r>
      <w:r w:rsidR="004750A5" w:rsidRPr="00AA4453">
        <w:rPr>
          <w:rFonts w:ascii="Verdana" w:hAnsi="Verdana"/>
          <w:b/>
          <w:bCs/>
          <w:sz w:val="20"/>
          <w:szCs w:val="20"/>
        </w:rPr>
        <w:t xml:space="preserve"> </w:t>
      </w:r>
    </w:p>
    <w:p w14:paraId="3EF265E6" w14:textId="6817871A" w:rsidR="00A302F8" w:rsidRDefault="00337B80" w:rsidP="00A302F8">
      <w:pPr>
        <w:rPr>
          <w:rFonts w:ascii="Verdana" w:eastAsia="Verdana" w:hAnsi="Verdana" w:cs="Verdana"/>
          <w:sz w:val="20"/>
          <w:szCs w:val="20"/>
        </w:rPr>
      </w:pPr>
      <w:r w:rsidRPr="00AA4453">
        <w:rPr>
          <w:rFonts w:ascii="Verdana" w:hAnsi="Verdana"/>
          <w:sz w:val="20"/>
          <w:szCs w:val="20"/>
        </w:rPr>
        <w:t>The deadline to use quota extended from leave calendar year 2019 has been postponed</w:t>
      </w:r>
      <w:r w:rsidR="00D56A97" w:rsidRPr="00AA4453">
        <w:rPr>
          <w:rFonts w:ascii="Verdana" w:hAnsi="Verdana"/>
          <w:sz w:val="20"/>
          <w:szCs w:val="20"/>
        </w:rPr>
        <w:t xml:space="preserve">. </w:t>
      </w:r>
      <w:r w:rsidRPr="00AA4453">
        <w:rPr>
          <w:rFonts w:ascii="Verdana" w:hAnsi="Verdana"/>
          <w:sz w:val="20"/>
          <w:szCs w:val="20"/>
        </w:rPr>
        <w:t>This includes annual</w:t>
      </w:r>
      <w:r w:rsidR="002F204F" w:rsidRPr="00AA4453">
        <w:rPr>
          <w:rFonts w:ascii="Verdana" w:hAnsi="Verdana"/>
          <w:sz w:val="20"/>
          <w:szCs w:val="20"/>
        </w:rPr>
        <w:t>/combined</w:t>
      </w:r>
      <w:r w:rsidRPr="00AA4453">
        <w:rPr>
          <w:rFonts w:ascii="Verdana" w:hAnsi="Verdana"/>
          <w:sz w:val="20"/>
          <w:szCs w:val="20"/>
        </w:rPr>
        <w:t xml:space="preserve">, personal, </w:t>
      </w:r>
      <w:r w:rsidR="002F204F" w:rsidRPr="00AA4453">
        <w:rPr>
          <w:rFonts w:ascii="Verdana" w:hAnsi="Verdana"/>
          <w:sz w:val="20"/>
          <w:szCs w:val="20"/>
        </w:rPr>
        <w:t>compensatory and holiday extensions</w:t>
      </w:r>
      <w:r w:rsidR="00D56A97" w:rsidRPr="00AA4453">
        <w:rPr>
          <w:rFonts w:ascii="Verdana" w:hAnsi="Verdana"/>
          <w:sz w:val="20"/>
          <w:szCs w:val="20"/>
        </w:rPr>
        <w:t xml:space="preserve">. </w:t>
      </w:r>
      <w:r w:rsidR="004A32A2" w:rsidRPr="00AA4453">
        <w:rPr>
          <w:rFonts w:ascii="Verdana" w:hAnsi="Verdana"/>
          <w:sz w:val="20"/>
          <w:szCs w:val="20"/>
        </w:rPr>
        <w:t xml:space="preserve">The </w:t>
      </w:r>
      <w:r w:rsidR="00095464" w:rsidRPr="00AA4453">
        <w:rPr>
          <w:rFonts w:ascii="Verdana" w:hAnsi="Verdana" w:cs="Helvetica"/>
          <w:sz w:val="20"/>
          <w:szCs w:val="20"/>
        </w:rPr>
        <w:t xml:space="preserve">2019 </w:t>
      </w:r>
      <w:r w:rsidR="00A867BE" w:rsidRPr="00AA4453">
        <w:rPr>
          <w:rFonts w:ascii="Verdana" w:hAnsi="Verdana" w:cs="Helvetica"/>
          <w:sz w:val="20"/>
          <w:szCs w:val="20"/>
        </w:rPr>
        <w:t>extended quotas</w:t>
      </w:r>
      <w:r w:rsidR="00095464" w:rsidRPr="00AA4453">
        <w:rPr>
          <w:rFonts w:ascii="Verdana" w:hAnsi="Verdana" w:cs="Helvetica"/>
          <w:sz w:val="20"/>
          <w:szCs w:val="20"/>
        </w:rPr>
        <w:t xml:space="preserve"> will be available for use through the 7th pay period in 2021.  Additionally, 2020 excess leave will extend as normal through the 7</w:t>
      </w:r>
      <w:r w:rsidR="00095464" w:rsidRPr="00AA4453">
        <w:rPr>
          <w:rFonts w:ascii="Verdana" w:hAnsi="Verdana" w:cs="Helvetica"/>
          <w:sz w:val="15"/>
          <w:szCs w:val="15"/>
          <w:vertAlign w:val="superscript"/>
        </w:rPr>
        <w:t>th</w:t>
      </w:r>
      <w:r w:rsidR="00095464" w:rsidRPr="00AA4453">
        <w:rPr>
          <w:rFonts w:ascii="Verdana" w:hAnsi="Verdana" w:cs="Helvetica"/>
          <w:sz w:val="20"/>
          <w:szCs w:val="20"/>
        </w:rPr>
        <w:t xml:space="preserve"> pay period in 2021. </w:t>
      </w:r>
      <w:r w:rsidR="00095464" w:rsidRPr="00AA4453">
        <w:rPr>
          <w:rFonts w:ascii="inherit" w:hAnsi="inherit" w:cs="Helvetica"/>
          <w:sz w:val="20"/>
          <w:szCs w:val="20"/>
        </w:rPr>
        <w:t> </w:t>
      </w:r>
      <w:r w:rsidR="00A302F8" w:rsidRPr="00AA4453">
        <w:rPr>
          <w:rFonts w:ascii="Verdana" w:hAnsi="Verdana"/>
          <w:sz w:val="20"/>
          <w:szCs w:val="20"/>
        </w:rPr>
        <w:t xml:space="preserve"> </w:t>
      </w:r>
      <w:r w:rsidR="00095464" w:rsidRPr="00AA4453">
        <w:rPr>
          <w:rFonts w:ascii="Verdana" w:hAnsi="Verdana" w:cs="Helvetica"/>
          <w:sz w:val="20"/>
          <w:szCs w:val="20"/>
        </w:rPr>
        <w:t xml:space="preserve">These deadlines may be extended further should the current state of emergency continue beyond these </w:t>
      </w:r>
      <w:r w:rsidR="003B0287" w:rsidRPr="00AA4453">
        <w:rPr>
          <w:rFonts w:ascii="Verdana" w:hAnsi="Verdana" w:cs="Helvetica"/>
          <w:sz w:val="20"/>
          <w:szCs w:val="20"/>
        </w:rPr>
        <w:t>d</w:t>
      </w:r>
      <w:r w:rsidR="00095464" w:rsidRPr="00AA4453">
        <w:rPr>
          <w:rFonts w:ascii="Verdana" w:hAnsi="Verdana" w:cs="Helvetica"/>
          <w:sz w:val="20"/>
          <w:szCs w:val="20"/>
        </w:rPr>
        <w:t xml:space="preserve">ates. </w:t>
      </w:r>
      <w:r w:rsidR="00D56A97" w:rsidRPr="00AA4453">
        <w:rPr>
          <w:rFonts w:ascii="Verdana" w:eastAsia="Verdana" w:hAnsi="Verdana" w:cs="Verdana"/>
          <w:sz w:val="20"/>
          <w:szCs w:val="20"/>
        </w:rPr>
        <w:t xml:space="preserve"> </w:t>
      </w:r>
      <w:r w:rsidR="00A302F8" w:rsidRPr="00AA4453">
        <w:rPr>
          <w:rFonts w:ascii="Verdana" w:eastAsia="Verdana" w:hAnsi="Verdana" w:cs="Verdana"/>
          <w:sz w:val="20"/>
          <w:szCs w:val="20"/>
        </w:rPr>
        <w:t>Employees will be given a minimum 60-day notice to use extended leave.</w:t>
      </w:r>
      <w:r w:rsidR="00A302F8">
        <w:rPr>
          <w:rFonts w:ascii="Verdana" w:eastAsia="Verdana" w:hAnsi="Verdana" w:cs="Verdana"/>
          <w:sz w:val="20"/>
          <w:szCs w:val="20"/>
        </w:rPr>
        <w:t xml:space="preserve"> </w:t>
      </w:r>
    </w:p>
    <w:p w14:paraId="502C7ECC" w14:textId="7353A881" w:rsidR="00B951BF" w:rsidRPr="00A35968" w:rsidRDefault="00B951BF" w:rsidP="00B951BF">
      <w:pPr>
        <w:pStyle w:val="ListParagraph"/>
        <w:ind w:left="0"/>
        <w:rPr>
          <w:rFonts w:ascii="Verdana" w:hAnsi="Verdana"/>
          <w:b/>
          <w:bCs/>
          <w:sz w:val="20"/>
          <w:szCs w:val="20"/>
        </w:rPr>
      </w:pPr>
      <w:r w:rsidRPr="00A35968">
        <w:rPr>
          <w:rFonts w:ascii="Verdana" w:hAnsi="Verdana"/>
          <w:b/>
          <w:bCs/>
          <w:sz w:val="20"/>
          <w:szCs w:val="20"/>
        </w:rPr>
        <w:t>ESS Leave Request</w:t>
      </w:r>
    </w:p>
    <w:p w14:paraId="6B7441A4" w14:textId="77777777" w:rsidR="007C7ADF" w:rsidRPr="00A35968" w:rsidRDefault="007C7ADF" w:rsidP="00B951BF">
      <w:pPr>
        <w:pStyle w:val="ListParagraph"/>
        <w:ind w:left="0"/>
        <w:rPr>
          <w:rFonts w:ascii="Verdana" w:hAnsi="Verdana"/>
          <w:b/>
          <w:bCs/>
          <w:sz w:val="20"/>
          <w:szCs w:val="20"/>
        </w:rPr>
      </w:pPr>
    </w:p>
    <w:p w14:paraId="56093AB7" w14:textId="77777777" w:rsidR="00B951BF" w:rsidRPr="00A35968" w:rsidRDefault="00B951BF" w:rsidP="00B951BF">
      <w:pPr>
        <w:pStyle w:val="ListParagraph"/>
        <w:numPr>
          <w:ilvl w:val="0"/>
          <w:numId w:val="4"/>
        </w:numPr>
        <w:rPr>
          <w:rFonts w:ascii="Verdana" w:hAnsi="Verdana"/>
          <w:sz w:val="20"/>
          <w:szCs w:val="20"/>
        </w:rPr>
      </w:pPr>
      <w:r w:rsidRPr="00A35968">
        <w:rPr>
          <w:rFonts w:ascii="Verdana" w:hAnsi="Verdana"/>
          <w:sz w:val="20"/>
          <w:szCs w:val="20"/>
        </w:rPr>
        <w:t>Influenza dropdown is presented for the new absence types (ES, ESF, ESA and ECC) but is not validated.</w:t>
      </w:r>
    </w:p>
    <w:p w14:paraId="3B1E59D2" w14:textId="08B336EC" w:rsidR="00B951BF" w:rsidRPr="00A35968" w:rsidRDefault="00B951BF" w:rsidP="00B951BF">
      <w:pPr>
        <w:pStyle w:val="ListParagraph"/>
        <w:numPr>
          <w:ilvl w:val="0"/>
          <w:numId w:val="4"/>
        </w:numPr>
        <w:rPr>
          <w:rFonts w:ascii="Verdana" w:hAnsi="Verdana"/>
          <w:sz w:val="20"/>
          <w:szCs w:val="20"/>
        </w:rPr>
      </w:pPr>
      <w:r w:rsidRPr="00A35968">
        <w:rPr>
          <w:rFonts w:ascii="Verdana" w:hAnsi="Verdana"/>
          <w:sz w:val="20"/>
          <w:szCs w:val="20"/>
        </w:rPr>
        <w:t>A pop-up box notifying the user that the absence will be granted contingent upon eligibility and compliance with the requirements of the Act will be presented when selecting one of the new absence types (ES, ESF, ESA and ECC).  User must acknowledge by selecting “Yes” to proceed with the absence request</w:t>
      </w:r>
      <w:r w:rsidR="00D56A97" w:rsidRPr="00A35968">
        <w:rPr>
          <w:rFonts w:ascii="Verdana" w:hAnsi="Verdana"/>
          <w:sz w:val="20"/>
          <w:szCs w:val="20"/>
        </w:rPr>
        <w:t xml:space="preserve">. </w:t>
      </w:r>
      <w:r w:rsidRPr="00A35968">
        <w:rPr>
          <w:rFonts w:ascii="Verdana" w:hAnsi="Verdana"/>
          <w:sz w:val="20"/>
          <w:szCs w:val="20"/>
        </w:rPr>
        <w:t>Selecting “No” returns the user to the entry screen and to select a different absence type.</w:t>
      </w:r>
    </w:p>
    <w:p w14:paraId="166890E1" w14:textId="77777777" w:rsidR="00B951BF" w:rsidRPr="00A35968" w:rsidRDefault="00B951BF" w:rsidP="00B951BF">
      <w:pPr>
        <w:pStyle w:val="ListParagraph"/>
        <w:rPr>
          <w:rFonts w:ascii="Verdana" w:hAnsi="Verdana"/>
          <w:sz w:val="20"/>
          <w:szCs w:val="20"/>
        </w:rPr>
      </w:pPr>
    </w:p>
    <w:p w14:paraId="18514943" w14:textId="45650DAF" w:rsidR="00B951BF" w:rsidRDefault="00B951BF" w:rsidP="00391336">
      <w:pPr>
        <w:pStyle w:val="ListParagraph"/>
        <w:ind w:left="0"/>
        <w:rPr>
          <w:rFonts w:ascii="Verdana" w:hAnsi="Verdana"/>
          <w:sz w:val="20"/>
          <w:szCs w:val="20"/>
        </w:rPr>
      </w:pPr>
      <w:r w:rsidRPr="00A35968">
        <w:rPr>
          <w:rFonts w:ascii="Verdana" w:hAnsi="Verdana"/>
          <w:sz w:val="20"/>
          <w:szCs w:val="20"/>
        </w:rPr>
        <w:tab/>
      </w:r>
      <w:r w:rsidRPr="00A35968">
        <w:rPr>
          <w:rFonts w:ascii="Verdana" w:hAnsi="Verdana"/>
          <w:noProof/>
          <w:sz w:val="20"/>
          <w:szCs w:val="20"/>
        </w:rPr>
        <w:drawing>
          <wp:inline distT="0" distB="0" distL="0" distR="0" wp14:anchorId="36D1D591" wp14:editId="494B062F">
            <wp:extent cx="4169664" cy="1371600"/>
            <wp:effectExtent l="0" t="0" r="2540" b="0"/>
            <wp:docPr id="459516994" name="Picture 459516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69664" cy="1371600"/>
                    </a:xfrm>
                    <a:prstGeom prst="rect">
                      <a:avLst/>
                    </a:prstGeom>
                  </pic:spPr>
                </pic:pic>
              </a:graphicData>
            </a:graphic>
          </wp:inline>
        </w:drawing>
      </w:r>
    </w:p>
    <w:p w14:paraId="50CABA34" w14:textId="77777777" w:rsidR="00B60DD8" w:rsidRPr="00A35968" w:rsidRDefault="00B60DD8" w:rsidP="00391336">
      <w:pPr>
        <w:pStyle w:val="ListParagraph"/>
        <w:ind w:left="0"/>
        <w:rPr>
          <w:rFonts w:ascii="Verdana" w:hAnsi="Verdana"/>
          <w:sz w:val="20"/>
          <w:szCs w:val="20"/>
        </w:rPr>
      </w:pPr>
    </w:p>
    <w:p w14:paraId="01743B07" w14:textId="0DBB243D" w:rsidR="00B951BF" w:rsidRPr="00A35968" w:rsidRDefault="00B951BF" w:rsidP="00B951BF">
      <w:pPr>
        <w:pStyle w:val="ListParagraph"/>
        <w:numPr>
          <w:ilvl w:val="0"/>
          <w:numId w:val="5"/>
        </w:numPr>
        <w:rPr>
          <w:rFonts w:ascii="Verdana" w:hAnsi="Verdana"/>
          <w:sz w:val="20"/>
          <w:szCs w:val="20"/>
        </w:rPr>
      </w:pPr>
      <w:r w:rsidRPr="00A35968">
        <w:rPr>
          <w:rFonts w:ascii="Verdana" w:hAnsi="Verdana"/>
          <w:sz w:val="20"/>
          <w:szCs w:val="20"/>
        </w:rPr>
        <w:t>For absence type ESF, two new relationships have been added the dropdown for Family Relationships</w:t>
      </w:r>
      <w:r w:rsidR="00D56A97" w:rsidRPr="00A35968">
        <w:rPr>
          <w:rFonts w:ascii="Verdana" w:hAnsi="Verdana"/>
          <w:sz w:val="20"/>
          <w:szCs w:val="20"/>
        </w:rPr>
        <w:t xml:space="preserve">. </w:t>
      </w:r>
    </w:p>
    <w:p w14:paraId="63092B0C" w14:textId="220B7509" w:rsidR="00B951BF" w:rsidRPr="00A35968" w:rsidRDefault="00B951BF" w:rsidP="00B951BF">
      <w:pPr>
        <w:pStyle w:val="ListParagraph"/>
        <w:numPr>
          <w:ilvl w:val="1"/>
          <w:numId w:val="5"/>
        </w:numPr>
        <w:rPr>
          <w:rFonts w:ascii="Verdana" w:hAnsi="Verdana"/>
          <w:sz w:val="20"/>
          <w:szCs w:val="20"/>
        </w:rPr>
      </w:pPr>
      <w:r w:rsidRPr="00A35968">
        <w:rPr>
          <w:rFonts w:ascii="Verdana" w:hAnsi="Verdana"/>
          <w:sz w:val="20"/>
          <w:szCs w:val="20"/>
        </w:rPr>
        <w:t>Childcare</w:t>
      </w:r>
      <w:r w:rsidR="00D20CA8">
        <w:rPr>
          <w:rFonts w:ascii="Verdana" w:hAnsi="Verdana"/>
          <w:sz w:val="20"/>
          <w:szCs w:val="20"/>
        </w:rPr>
        <w:t xml:space="preserve"> – if using ESF for childcare purposes</w:t>
      </w:r>
      <w:r w:rsidR="008A0A14">
        <w:rPr>
          <w:rFonts w:ascii="Verdana" w:hAnsi="Verdana"/>
          <w:sz w:val="20"/>
          <w:szCs w:val="20"/>
        </w:rPr>
        <w:t xml:space="preserve">. </w:t>
      </w:r>
      <w:r w:rsidR="00B85915">
        <w:rPr>
          <w:rFonts w:ascii="Verdana" w:hAnsi="Verdana"/>
          <w:sz w:val="20"/>
          <w:szCs w:val="20"/>
        </w:rPr>
        <w:t xml:space="preserve">Enter COVID-19 in </w:t>
      </w:r>
      <w:r w:rsidR="00B85915" w:rsidRPr="00B85915">
        <w:rPr>
          <w:rFonts w:ascii="Verdana" w:hAnsi="Verdana"/>
          <w:i/>
          <w:iCs/>
          <w:sz w:val="20"/>
          <w:szCs w:val="20"/>
        </w:rPr>
        <w:t>Other Remarks</w:t>
      </w:r>
      <w:r w:rsidR="00B85915">
        <w:rPr>
          <w:rFonts w:ascii="Verdana" w:hAnsi="Verdana"/>
          <w:sz w:val="20"/>
          <w:szCs w:val="20"/>
        </w:rPr>
        <w:t>.</w:t>
      </w:r>
    </w:p>
    <w:p w14:paraId="4221403D" w14:textId="5CB5F5FA" w:rsidR="00B951BF" w:rsidRPr="00384DA8" w:rsidRDefault="00B951BF" w:rsidP="00B951BF">
      <w:pPr>
        <w:pStyle w:val="ListParagraph"/>
        <w:numPr>
          <w:ilvl w:val="1"/>
          <w:numId w:val="5"/>
        </w:numPr>
        <w:rPr>
          <w:rFonts w:ascii="Verdana" w:hAnsi="Verdana"/>
          <w:sz w:val="20"/>
          <w:szCs w:val="20"/>
        </w:rPr>
      </w:pPr>
      <w:r w:rsidRPr="00384DA8">
        <w:rPr>
          <w:rFonts w:ascii="Verdana" w:hAnsi="Verdana"/>
          <w:sz w:val="20"/>
          <w:szCs w:val="20"/>
        </w:rPr>
        <w:t xml:space="preserve">Other </w:t>
      </w:r>
      <w:r w:rsidR="008A0A14" w:rsidRPr="00384DA8">
        <w:rPr>
          <w:rFonts w:ascii="Verdana" w:hAnsi="Verdana"/>
          <w:sz w:val="20"/>
          <w:szCs w:val="20"/>
        </w:rPr>
        <w:t xml:space="preserve">– if using ESF to care for another </w:t>
      </w:r>
      <w:r w:rsidR="008A0A14" w:rsidRPr="00384DA8">
        <w:rPr>
          <w:rFonts w:ascii="Verdana" w:hAnsi="Verdana"/>
          <w:sz w:val="20"/>
          <w:szCs w:val="20"/>
          <w:u w:val="single"/>
        </w:rPr>
        <w:t>individual</w:t>
      </w:r>
      <w:r w:rsidR="001501ED" w:rsidRPr="00384DA8">
        <w:rPr>
          <w:rFonts w:ascii="Verdana" w:hAnsi="Verdana"/>
          <w:sz w:val="20"/>
          <w:szCs w:val="20"/>
        </w:rPr>
        <w:t xml:space="preserve"> and family relationship does not </w:t>
      </w:r>
      <w:r w:rsidR="00D56A97" w:rsidRPr="00384DA8">
        <w:rPr>
          <w:rFonts w:ascii="Verdana" w:hAnsi="Verdana"/>
          <w:sz w:val="20"/>
          <w:szCs w:val="20"/>
        </w:rPr>
        <w:t>exist</w:t>
      </w:r>
      <w:r w:rsidR="001501ED" w:rsidRPr="00384DA8">
        <w:rPr>
          <w:rFonts w:ascii="Verdana" w:hAnsi="Verdana"/>
          <w:sz w:val="20"/>
          <w:szCs w:val="20"/>
        </w:rPr>
        <w:t xml:space="preserve"> in the dropdown, select “Other.”</w:t>
      </w:r>
      <w:r w:rsidR="00200A19" w:rsidRPr="00384DA8">
        <w:rPr>
          <w:rFonts w:ascii="Verdana" w:hAnsi="Verdana"/>
          <w:sz w:val="20"/>
          <w:szCs w:val="20"/>
        </w:rPr>
        <w:t xml:space="preserve"> </w:t>
      </w:r>
      <w:r w:rsidRPr="00384DA8">
        <w:rPr>
          <w:rFonts w:ascii="Verdana" w:hAnsi="Verdana"/>
          <w:sz w:val="20"/>
          <w:szCs w:val="20"/>
        </w:rPr>
        <w:t xml:space="preserve">User </w:t>
      </w:r>
      <w:r w:rsidRPr="00384DA8">
        <w:rPr>
          <w:rFonts w:ascii="Verdana" w:hAnsi="Verdana"/>
          <w:sz w:val="20"/>
          <w:szCs w:val="20"/>
          <w:u w:val="single"/>
        </w:rPr>
        <w:t>must</w:t>
      </w:r>
      <w:r w:rsidRPr="00384DA8">
        <w:rPr>
          <w:rFonts w:ascii="Verdana" w:hAnsi="Verdana"/>
          <w:sz w:val="20"/>
          <w:szCs w:val="20"/>
        </w:rPr>
        <w:t xml:space="preserve"> enter Remarks indicating specific relationship</w:t>
      </w:r>
      <w:r w:rsidR="00A31455" w:rsidRPr="00384DA8">
        <w:rPr>
          <w:rFonts w:ascii="Verdana" w:hAnsi="Verdana"/>
          <w:sz w:val="20"/>
          <w:szCs w:val="20"/>
        </w:rPr>
        <w:t>.</w:t>
      </w:r>
    </w:p>
    <w:p w14:paraId="61B82AD5" w14:textId="27FA9742" w:rsidR="009F3C69" w:rsidRPr="00A35968" w:rsidRDefault="00B951BF" w:rsidP="00596604">
      <w:pPr>
        <w:ind w:left="720"/>
        <w:rPr>
          <w:rFonts w:ascii="Verdana" w:hAnsi="Verdana"/>
          <w:sz w:val="20"/>
          <w:szCs w:val="20"/>
        </w:rPr>
      </w:pPr>
      <w:r w:rsidRPr="00A35968">
        <w:rPr>
          <w:rFonts w:ascii="Verdana" w:hAnsi="Verdana"/>
          <w:noProof/>
          <w:sz w:val="20"/>
          <w:szCs w:val="20"/>
        </w:rPr>
        <w:drawing>
          <wp:inline distT="0" distB="0" distL="0" distR="0" wp14:anchorId="748D89F5" wp14:editId="74F26187">
            <wp:extent cx="3332988" cy="2312260"/>
            <wp:effectExtent l="0" t="0" r="0" b="0"/>
            <wp:docPr id="2008254760" name="Picture 200825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332988" cy="2312260"/>
                    </a:xfrm>
                    <a:prstGeom prst="rect">
                      <a:avLst/>
                    </a:prstGeom>
                  </pic:spPr>
                </pic:pic>
              </a:graphicData>
            </a:graphic>
          </wp:inline>
        </w:drawing>
      </w:r>
    </w:p>
    <w:p w14:paraId="35A6EF35" w14:textId="06211CB7" w:rsidR="00B951BF" w:rsidRPr="00AA4453" w:rsidRDefault="00B951BF" w:rsidP="00B951BF">
      <w:pPr>
        <w:rPr>
          <w:rFonts w:ascii="Verdana" w:hAnsi="Verdana"/>
          <w:b/>
          <w:bCs/>
          <w:sz w:val="20"/>
          <w:szCs w:val="20"/>
        </w:rPr>
      </w:pPr>
      <w:r w:rsidRPr="00AA4453">
        <w:rPr>
          <w:rFonts w:ascii="Verdana" w:hAnsi="Verdana"/>
          <w:b/>
          <w:bCs/>
          <w:sz w:val="20"/>
          <w:szCs w:val="20"/>
        </w:rPr>
        <w:lastRenderedPageBreak/>
        <w:t>Workflow</w:t>
      </w:r>
    </w:p>
    <w:p w14:paraId="77290A27" w14:textId="0A5883CA" w:rsidR="00B86F31" w:rsidRPr="00AA4453" w:rsidRDefault="00B951BF" w:rsidP="00B86F31">
      <w:pPr>
        <w:pStyle w:val="ListParagraph"/>
        <w:rPr>
          <w:rFonts w:ascii="Verdana" w:hAnsi="Verdana" w:cs="Calibri"/>
          <w:b/>
          <w:bCs/>
          <w:sz w:val="20"/>
          <w:szCs w:val="20"/>
        </w:rPr>
      </w:pPr>
      <w:r w:rsidRPr="00AA4453">
        <w:rPr>
          <w:rFonts w:ascii="Verdana" w:hAnsi="Verdana" w:cs="Calibri"/>
          <w:sz w:val="20"/>
          <w:szCs w:val="20"/>
        </w:rPr>
        <w:t xml:space="preserve">The new absence types (ES, ESF, ESA and ECC) follow the </w:t>
      </w:r>
      <w:r w:rsidR="000548C2" w:rsidRPr="00AA4453">
        <w:rPr>
          <w:rFonts w:ascii="Verdana" w:hAnsi="Verdana" w:cs="Calibri"/>
          <w:sz w:val="20"/>
          <w:szCs w:val="20"/>
        </w:rPr>
        <w:t xml:space="preserve">same </w:t>
      </w:r>
      <w:r w:rsidRPr="00AA4453">
        <w:rPr>
          <w:rFonts w:ascii="Verdana" w:hAnsi="Verdana" w:cs="Calibri"/>
          <w:sz w:val="20"/>
          <w:szCs w:val="20"/>
        </w:rPr>
        <w:t>process as</w:t>
      </w:r>
      <w:r w:rsidR="000548C2" w:rsidRPr="00AA4453">
        <w:rPr>
          <w:rFonts w:ascii="Verdana" w:hAnsi="Verdana" w:cs="Calibri"/>
          <w:sz w:val="20"/>
          <w:szCs w:val="20"/>
        </w:rPr>
        <w:t xml:space="preserve"> FMLA absence requests. </w:t>
      </w:r>
      <w:r w:rsidRPr="00AA4453">
        <w:rPr>
          <w:rFonts w:ascii="Verdana" w:hAnsi="Verdana" w:cs="Calibri"/>
          <w:sz w:val="20"/>
          <w:szCs w:val="20"/>
        </w:rPr>
        <w:t xml:space="preserve"> </w:t>
      </w:r>
      <w:r w:rsidR="000548C2" w:rsidRPr="00AA4453">
        <w:rPr>
          <w:rFonts w:ascii="Verdana" w:hAnsi="Verdana" w:cs="Calibri"/>
          <w:sz w:val="20"/>
          <w:szCs w:val="20"/>
        </w:rPr>
        <w:t xml:space="preserve">The absence request will be sent to the Supervisor and FMLA Specialist simultaneously. The Supervisor can acknowledge the request and add remarks but cannot approve the request. All approvals will be handled by the FMLA Specialist. </w:t>
      </w:r>
    </w:p>
    <w:p w14:paraId="3F51D796" w14:textId="77777777" w:rsidR="00B951BF" w:rsidRPr="00AA4453" w:rsidRDefault="00B951BF" w:rsidP="00B951BF">
      <w:pPr>
        <w:rPr>
          <w:rFonts w:ascii="Verdana" w:hAnsi="Verdana"/>
          <w:b/>
          <w:bCs/>
          <w:sz w:val="20"/>
          <w:szCs w:val="20"/>
        </w:rPr>
      </w:pPr>
      <w:r w:rsidRPr="00AA4453">
        <w:rPr>
          <w:rFonts w:ascii="Verdana" w:hAnsi="Verdana"/>
          <w:b/>
          <w:bCs/>
          <w:sz w:val="20"/>
          <w:szCs w:val="20"/>
        </w:rPr>
        <w:t>Full Time Evaluation</w:t>
      </w:r>
    </w:p>
    <w:p w14:paraId="41C87540" w14:textId="77777777" w:rsidR="00B951BF" w:rsidRPr="00AA4453" w:rsidRDefault="00B951BF" w:rsidP="00B951BF">
      <w:pPr>
        <w:pStyle w:val="ListParagraph"/>
        <w:numPr>
          <w:ilvl w:val="0"/>
          <w:numId w:val="3"/>
        </w:numPr>
        <w:rPr>
          <w:rFonts w:ascii="Verdana" w:hAnsi="Verdana"/>
          <w:sz w:val="20"/>
          <w:szCs w:val="20"/>
        </w:rPr>
      </w:pPr>
      <w:r w:rsidRPr="00AA4453">
        <w:rPr>
          <w:rFonts w:ascii="Verdana" w:hAnsi="Verdana"/>
          <w:sz w:val="20"/>
          <w:szCs w:val="20"/>
        </w:rPr>
        <w:t>Kronos</w:t>
      </w:r>
    </w:p>
    <w:p w14:paraId="7DEEAF50" w14:textId="24DEB0BD" w:rsidR="00341894" w:rsidRPr="00AA4453" w:rsidRDefault="00B951BF" w:rsidP="00B951BF">
      <w:pPr>
        <w:pStyle w:val="ListParagraph"/>
        <w:numPr>
          <w:ilvl w:val="1"/>
          <w:numId w:val="3"/>
        </w:numPr>
        <w:rPr>
          <w:rFonts w:ascii="Verdana" w:hAnsi="Verdana"/>
          <w:sz w:val="20"/>
          <w:szCs w:val="20"/>
        </w:rPr>
      </w:pPr>
      <w:r w:rsidRPr="00AA4453">
        <w:rPr>
          <w:rFonts w:ascii="Verdana" w:hAnsi="Verdana"/>
          <w:sz w:val="20"/>
          <w:szCs w:val="20"/>
        </w:rPr>
        <w:t>New absence types (ES, ESF, ESA and ECC) will be available in Kronos</w:t>
      </w:r>
      <w:r w:rsidR="00601E74" w:rsidRPr="00AA4453">
        <w:rPr>
          <w:rFonts w:ascii="Verdana" w:hAnsi="Verdana"/>
          <w:sz w:val="20"/>
          <w:szCs w:val="20"/>
        </w:rPr>
        <w:t xml:space="preserve">. </w:t>
      </w:r>
      <w:r w:rsidR="005A22D6" w:rsidRPr="00AA4453">
        <w:rPr>
          <w:rFonts w:ascii="Verdana" w:hAnsi="Verdana"/>
          <w:sz w:val="20"/>
          <w:szCs w:val="20"/>
        </w:rPr>
        <w:t xml:space="preserve"> </w:t>
      </w:r>
      <w:r w:rsidR="00C3612B" w:rsidRPr="00AA4453">
        <w:rPr>
          <w:rFonts w:ascii="Verdana" w:hAnsi="Verdana"/>
          <w:sz w:val="20"/>
          <w:szCs w:val="20"/>
        </w:rPr>
        <w:t>Effective 10/4/2020, the</w:t>
      </w:r>
      <w:r w:rsidR="005A22D6" w:rsidRPr="00AA4453">
        <w:rPr>
          <w:rFonts w:ascii="Verdana" w:hAnsi="Verdana"/>
          <w:sz w:val="20"/>
          <w:szCs w:val="20"/>
        </w:rPr>
        <w:t>se absence types have been replaced with</w:t>
      </w:r>
      <w:r w:rsidR="006038B7" w:rsidRPr="00AA4453">
        <w:rPr>
          <w:rFonts w:ascii="Verdana" w:hAnsi="Verdana"/>
          <w:sz w:val="20"/>
          <w:szCs w:val="20"/>
        </w:rPr>
        <w:t xml:space="preserve"> the following</w:t>
      </w:r>
      <w:r w:rsidR="00601E74" w:rsidRPr="00AA4453">
        <w:rPr>
          <w:rFonts w:ascii="Verdana" w:hAnsi="Verdana"/>
          <w:sz w:val="20"/>
          <w:szCs w:val="20"/>
        </w:rPr>
        <w:t>:</w:t>
      </w:r>
    </w:p>
    <w:p w14:paraId="2A05B183" w14:textId="2796C3F6" w:rsidR="005C15BE" w:rsidRPr="00AA4453" w:rsidRDefault="00341894" w:rsidP="00341894">
      <w:pPr>
        <w:pStyle w:val="ListParagraph"/>
        <w:numPr>
          <w:ilvl w:val="2"/>
          <w:numId w:val="3"/>
        </w:numPr>
        <w:rPr>
          <w:rFonts w:ascii="Verdana" w:hAnsi="Verdana"/>
          <w:sz w:val="20"/>
          <w:szCs w:val="20"/>
        </w:rPr>
      </w:pPr>
      <w:r w:rsidRPr="00AA4453">
        <w:rPr>
          <w:rFonts w:ascii="Verdana" w:hAnsi="Verdana"/>
          <w:sz w:val="20"/>
          <w:szCs w:val="20"/>
        </w:rPr>
        <w:t>COVID</w:t>
      </w:r>
      <w:r w:rsidR="00B10184" w:rsidRPr="00AA4453">
        <w:rPr>
          <w:rFonts w:ascii="Verdana" w:hAnsi="Verdana"/>
          <w:sz w:val="20"/>
          <w:szCs w:val="20"/>
        </w:rPr>
        <w:t xml:space="preserve"> (no quota deduction)</w:t>
      </w:r>
      <w:r w:rsidR="005A22D6" w:rsidRPr="00AA4453">
        <w:rPr>
          <w:rFonts w:ascii="Verdana" w:hAnsi="Verdana"/>
          <w:sz w:val="20"/>
          <w:szCs w:val="20"/>
        </w:rPr>
        <w:t xml:space="preserve"> </w:t>
      </w:r>
      <w:r w:rsidR="00C3612B" w:rsidRPr="00AA4453">
        <w:rPr>
          <w:rFonts w:ascii="Verdana" w:hAnsi="Verdana"/>
          <w:sz w:val="20"/>
          <w:szCs w:val="20"/>
        </w:rPr>
        <w:t xml:space="preserve"> </w:t>
      </w:r>
    </w:p>
    <w:p w14:paraId="5F526208" w14:textId="4EC07687" w:rsidR="001F75AA" w:rsidRPr="00AA4453" w:rsidRDefault="00C3612B" w:rsidP="005C15BE">
      <w:pPr>
        <w:pStyle w:val="ListParagraph"/>
        <w:numPr>
          <w:ilvl w:val="2"/>
          <w:numId w:val="3"/>
        </w:numPr>
        <w:rPr>
          <w:rFonts w:ascii="Verdana" w:hAnsi="Verdana"/>
          <w:sz w:val="20"/>
          <w:szCs w:val="20"/>
        </w:rPr>
      </w:pPr>
      <w:r w:rsidRPr="00AA4453">
        <w:rPr>
          <w:rFonts w:ascii="Verdana" w:hAnsi="Verdana"/>
          <w:sz w:val="20"/>
          <w:szCs w:val="20"/>
        </w:rPr>
        <w:t>COVID-ES</w:t>
      </w:r>
      <w:r w:rsidR="00B10184" w:rsidRPr="00AA4453">
        <w:rPr>
          <w:rFonts w:ascii="Verdana" w:hAnsi="Verdana"/>
          <w:sz w:val="20"/>
          <w:szCs w:val="20"/>
        </w:rPr>
        <w:t xml:space="preserve"> (</w:t>
      </w:r>
      <w:r w:rsidR="00DD12CC" w:rsidRPr="00AA4453">
        <w:rPr>
          <w:rFonts w:ascii="Verdana" w:hAnsi="Verdana"/>
          <w:sz w:val="20"/>
          <w:szCs w:val="20"/>
        </w:rPr>
        <w:t>deducts from quota)</w:t>
      </w:r>
    </w:p>
    <w:p w14:paraId="06E6F171" w14:textId="70C9A5F1" w:rsidR="005C15BE" w:rsidRPr="00AA4453" w:rsidRDefault="005C15BE" w:rsidP="005C15BE">
      <w:pPr>
        <w:pStyle w:val="ListParagraph"/>
        <w:numPr>
          <w:ilvl w:val="2"/>
          <w:numId w:val="3"/>
        </w:numPr>
        <w:rPr>
          <w:rFonts w:ascii="Verdana" w:hAnsi="Verdana"/>
          <w:sz w:val="20"/>
          <w:szCs w:val="20"/>
        </w:rPr>
      </w:pPr>
      <w:r w:rsidRPr="00AA4453">
        <w:rPr>
          <w:rFonts w:ascii="Verdana" w:hAnsi="Verdana"/>
          <w:sz w:val="20"/>
          <w:szCs w:val="20"/>
        </w:rPr>
        <w:t>COVID-ESF</w:t>
      </w:r>
      <w:r w:rsidR="00DD12CC" w:rsidRPr="00AA4453">
        <w:rPr>
          <w:rFonts w:ascii="Verdana" w:hAnsi="Verdana"/>
          <w:sz w:val="20"/>
          <w:szCs w:val="20"/>
        </w:rPr>
        <w:t xml:space="preserve"> (deducts from quota)</w:t>
      </w:r>
    </w:p>
    <w:p w14:paraId="68534B5C" w14:textId="4EF42DF7" w:rsidR="005C15BE" w:rsidRPr="00AA4453" w:rsidRDefault="005C15BE" w:rsidP="005C15BE">
      <w:pPr>
        <w:pStyle w:val="ListParagraph"/>
        <w:numPr>
          <w:ilvl w:val="2"/>
          <w:numId w:val="3"/>
        </w:numPr>
        <w:rPr>
          <w:rFonts w:ascii="Verdana" w:hAnsi="Verdana"/>
          <w:sz w:val="20"/>
          <w:szCs w:val="20"/>
        </w:rPr>
      </w:pPr>
      <w:r w:rsidRPr="00AA4453">
        <w:rPr>
          <w:rFonts w:ascii="Verdana" w:hAnsi="Verdana"/>
          <w:sz w:val="20"/>
          <w:szCs w:val="20"/>
        </w:rPr>
        <w:t>COVID-ECC</w:t>
      </w:r>
      <w:r w:rsidR="00DD12CC" w:rsidRPr="00AA4453">
        <w:rPr>
          <w:rFonts w:ascii="Verdana" w:hAnsi="Verdana"/>
          <w:sz w:val="20"/>
          <w:szCs w:val="20"/>
        </w:rPr>
        <w:t xml:space="preserve"> (deducts from quota)</w:t>
      </w:r>
    </w:p>
    <w:p w14:paraId="4E9F4A24" w14:textId="39E17D7F" w:rsidR="005C15BE" w:rsidRPr="00AA4453" w:rsidRDefault="005C15BE" w:rsidP="005C15BE">
      <w:pPr>
        <w:pStyle w:val="ListParagraph"/>
        <w:numPr>
          <w:ilvl w:val="2"/>
          <w:numId w:val="3"/>
        </w:numPr>
        <w:rPr>
          <w:rFonts w:ascii="Verdana" w:hAnsi="Verdana"/>
          <w:sz w:val="20"/>
          <w:szCs w:val="20"/>
        </w:rPr>
      </w:pPr>
      <w:r w:rsidRPr="00AA4453">
        <w:rPr>
          <w:rFonts w:ascii="Verdana" w:hAnsi="Verdana"/>
          <w:sz w:val="20"/>
          <w:szCs w:val="20"/>
        </w:rPr>
        <w:t>COVID-ESA</w:t>
      </w:r>
      <w:r w:rsidR="00DD12CC" w:rsidRPr="00AA4453">
        <w:rPr>
          <w:rFonts w:ascii="Verdana" w:hAnsi="Verdana"/>
          <w:sz w:val="20"/>
          <w:szCs w:val="20"/>
        </w:rPr>
        <w:t xml:space="preserve"> (deducts from quota)</w:t>
      </w:r>
    </w:p>
    <w:p w14:paraId="378B64FA" w14:textId="77777777" w:rsidR="00B951BF" w:rsidRPr="00A35968" w:rsidRDefault="00B951BF" w:rsidP="00B951BF">
      <w:pPr>
        <w:pStyle w:val="ListParagraph"/>
        <w:numPr>
          <w:ilvl w:val="0"/>
          <w:numId w:val="3"/>
        </w:numPr>
        <w:rPr>
          <w:rFonts w:ascii="Verdana" w:hAnsi="Verdana"/>
          <w:sz w:val="20"/>
          <w:szCs w:val="20"/>
        </w:rPr>
      </w:pPr>
      <w:r w:rsidRPr="00A35968">
        <w:rPr>
          <w:rFonts w:ascii="Verdana" w:hAnsi="Verdana"/>
          <w:sz w:val="20"/>
          <w:szCs w:val="20"/>
        </w:rPr>
        <w:t xml:space="preserve">PLCB Point of Sale (POS) </w:t>
      </w:r>
    </w:p>
    <w:p w14:paraId="79AD9047" w14:textId="5BE06EAB" w:rsidR="00B951BF" w:rsidRPr="00A35968" w:rsidRDefault="00B951BF" w:rsidP="00B951BF">
      <w:pPr>
        <w:pStyle w:val="ListParagraph"/>
        <w:numPr>
          <w:ilvl w:val="1"/>
          <w:numId w:val="3"/>
        </w:numPr>
        <w:rPr>
          <w:rFonts w:ascii="Verdana" w:hAnsi="Verdana"/>
          <w:sz w:val="20"/>
          <w:szCs w:val="20"/>
        </w:rPr>
      </w:pPr>
      <w:r w:rsidRPr="00A35968">
        <w:rPr>
          <w:rFonts w:ascii="Verdana" w:hAnsi="Verdana"/>
          <w:sz w:val="20"/>
          <w:szCs w:val="20"/>
        </w:rPr>
        <w:t xml:space="preserve">Absences will be entered as Code 72 (ADMN) in </w:t>
      </w:r>
      <w:r w:rsidR="00D56A97" w:rsidRPr="00A35968">
        <w:rPr>
          <w:rFonts w:ascii="Verdana" w:hAnsi="Verdana"/>
          <w:sz w:val="20"/>
          <w:szCs w:val="20"/>
        </w:rPr>
        <w:t xml:space="preserve">POS. </w:t>
      </w:r>
      <w:r w:rsidR="00B85915">
        <w:rPr>
          <w:rFonts w:ascii="Verdana" w:hAnsi="Verdana"/>
          <w:sz w:val="20"/>
          <w:szCs w:val="20"/>
        </w:rPr>
        <w:t xml:space="preserve">Absence will pass to the Error Table for PLCB staff to review and update to appropriate absence type (ES, ESF, ESA and ECC). </w:t>
      </w:r>
    </w:p>
    <w:p w14:paraId="1284DC3F" w14:textId="77777777" w:rsidR="00B951BF" w:rsidRPr="00A35968" w:rsidRDefault="00B951BF" w:rsidP="00B951BF">
      <w:pPr>
        <w:pStyle w:val="ListParagraph"/>
        <w:numPr>
          <w:ilvl w:val="0"/>
          <w:numId w:val="3"/>
        </w:numPr>
        <w:rPr>
          <w:rFonts w:ascii="Verdana" w:hAnsi="Verdana"/>
          <w:sz w:val="20"/>
          <w:szCs w:val="20"/>
        </w:rPr>
      </w:pPr>
      <w:r w:rsidRPr="00A35968">
        <w:rPr>
          <w:rFonts w:ascii="Verdana" w:hAnsi="Verdana"/>
          <w:sz w:val="20"/>
          <w:szCs w:val="20"/>
        </w:rPr>
        <w:t>ZIPY</w:t>
      </w:r>
    </w:p>
    <w:p w14:paraId="262361AA" w14:textId="71CD06A3" w:rsidR="009F3C69" w:rsidRPr="00740037" w:rsidRDefault="00B951BF" w:rsidP="004F426C">
      <w:pPr>
        <w:pStyle w:val="ListParagraph"/>
        <w:numPr>
          <w:ilvl w:val="1"/>
          <w:numId w:val="3"/>
        </w:numPr>
        <w:rPr>
          <w:rFonts w:ascii="Verdana" w:hAnsi="Verdana"/>
          <w:b/>
          <w:bCs/>
          <w:sz w:val="20"/>
          <w:szCs w:val="20"/>
        </w:rPr>
      </w:pPr>
      <w:r w:rsidRPr="004F426C">
        <w:rPr>
          <w:rFonts w:ascii="Verdana" w:hAnsi="Verdana"/>
          <w:sz w:val="20"/>
          <w:szCs w:val="20"/>
        </w:rPr>
        <w:t>New absence types (ES, ESF, ESA and ECC) will be available in ZIPY.</w:t>
      </w:r>
      <w:r w:rsidR="004F426C" w:rsidRPr="004F426C">
        <w:rPr>
          <w:rFonts w:ascii="Verdana" w:hAnsi="Verdana"/>
          <w:sz w:val="20"/>
          <w:szCs w:val="20"/>
        </w:rPr>
        <w:t xml:space="preserve"> </w:t>
      </w:r>
    </w:p>
    <w:p w14:paraId="61848BE8" w14:textId="18CB698F" w:rsidR="00740037" w:rsidRPr="009E2375" w:rsidRDefault="00C50C2E" w:rsidP="00740037">
      <w:pPr>
        <w:pStyle w:val="ListParagraph"/>
        <w:numPr>
          <w:ilvl w:val="2"/>
          <w:numId w:val="3"/>
        </w:numPr>
        <w:rPr>
          <w:rFonts w:ascii="Verdana" w:hAnsi="Verdana"/>
          <w:b/>
          <w:bCs/>
          <w:sz w:val="20"/>
          <w:szCs w:val="20"/>
        </w:rPr>
      </w:pPr>
      <w:r>
        <w:rPr>
          <w:rFonts w:ascii="Verdana" w:hAnsi="Verdana"/>
          <w:sz w:val="20"/>
          <w:szCs w:val="20"/>
        </w:rPr>
        <w:t>For absence type ESF, relationship</w:t>
      </w:r>
      <w:r w:rsidR="008174CE">
        <w:rPr>
          <w:rFonts w:ascii="Verdana" w:hAnsi="Verdana"/>
          <w:sz w:val="20"/>
          <w:szCs w:val="20"/>
        </w:rPr>
        <w:t>/remarks</w:t>
      </w:r>
      <w:r>
        <w:rPr>
          <w:rFonts w:ascii="Verdana" w:hAnsi="Verdana"/>
          <w:sz w:val="20"/>
          <w:szCs w:val="20"/>
        </w:rPr>
        <w:t xml:space="preserve"> will need to be entered </w:t>
      </w:r>
      <w:r w:rsidR="00944B9E">
        <w:rPr>
          <w:rFonts w:ascii="Verdana" w:hAnsi="Verdana"/>
          <w:sz w:val="20"/>
          <w:szCs w:val="20"/>
        </w:rPr>
        <w:t xml:space="preserve">via ESS or </w:t>
      </w:r>
      <w:r>
        <w:rPr>
          <w:rFonts w:ascii="Verdana" w:hAnsi="Verdana"/>
          <w:sz w:val="20"/>
          <w:szCs w:val="20"/>
        </w:rPr>
        <w:t>directly to IT2001</w:t>
      </w:r>
      <w:r w:rsidR="008174CE">
        <w:rPr>
          <w:rFonts w:ascii="Verdana" w:hAnsi="Verdana"/>
          <w:sz w:val="20"/>
          <w:szCs w:val="20"/>
        </w:rPr>
        <w:t>.</w:t>
      </w:r>
    </w:p>
    <w:p w14:paraId="679FBB15" w14:textId="715006D7" w:rsidR="00B951BF" w:rsidRPr="00A35968" w:rsidRDefault="009E7ADE" w:rsidP="000872A6">
      <w:pPr>
        <w:ind w:left="360" w:hanging="360"/>
        <w:rPr>
          <w:rFonts w:ascii="Verdana" w:hAnsi="Verdana"/>
          <w:b/>
          <w:bCs/>
          <w:sz w:val="20"/>
          <w:szCs w:val="20"/>
        </w:rPr>
      </w:pPr>
      <w:r w:rsidRPr="00A35968">
        <w:rPr>
          <w:rFonts w:ascii="Verdana" w:hAnsi="Verdana"/>
          <w:b/>
          <w:bCs/>
          <w:sz w:val="20"/>
          <w:szCs w:val="20"/>
        </w:rPr>
        <w:t>PTFMLA Workbench</w:t>
      </w:r>
    </w:p>
    <w:p w14:paraId="2525DC48" w14:textId="6732B5CA" w:rsidR="009E7ADE" w:rsidRPr="00A35968" w:rsidRDefault="009E7ADE" w:rsidP="009E7ADE">
      <w:pPr>
        <w:pStyle w:val="ListParagraph"/>
        <w:numPr>
          <w:ilvl w:val="0"/>
          <w:numId w:val="6"/>
        </w:numPr>
        <w:rPr>
          <w:rFonts w:ascii="Verdana" w:hAnsi="Verdana"/>
          <w:b/>
          <w:bCs/>
          <w:sz w:val="20"/>
          <w:szCs w:val="20"/>
        </w:rPr>
      </w:pPr>
      <w:r w:rsidRPr="00A35968">
        <w:rPr>
          <w:rFonts w:ascii="Verdana" w:hAnsi="Verdana"/>
          <w:sz w:val="20"/>
          <w:szCs w:val="20"/>
        </w:rPr>
        <w:t>New event</w:t>
      </w:r>
      <w:r w:rsidR="00A32890" w:rsidRPr="00A35968">
        <w:rPr>
          <w:rFonts w:ascii="Verdana" w:hAnsi="Verdana"/>
          <w:sz w:val="20"/>
          <w:szCs w:val="20"/>
        </w:rPr>
        <w:t xml:space="preserve"> – “FMLA-Emergency Childcare”</w:t>
      </w:r>
    </w:p>
    <w:p w14:paraId="1F74F761" w14:textId="177496E9" w:rsidR="005B132A" w:rsidRPr="00A35968" w:rsidRDefault="00B950B9" w:rsidP="005B132A">
      <w:pPr>
        <w:pStyle w:val="ListParagraph"/>
        <w:numPr>
          <w:ilvl w:val="1"/>
          <w:numId w:val="6"/>
        </w:numPr>
        <w:rPr>
          <w:rFonts w:ascii="Verdana" w:hAnsi="Verdana"/>
          <w:b/>
          <w:bCs/>
          <w:sz w:val="20"/>
          <w:szCs w:val="20"/>
        </w:rPr>
      </w:pPr>
      <w:r w:rsidRPr="00A35968">
        <w:rPr>
          <w:rFonts w:ascii="Verdana" w:hAnsi="Verdana"/>
          <w:sz w:val="20"/>
          <w:szCs w:val="20"/>
        </w:rPr>
        <w:t xml:space="preserve">The following absence types can be linked </w:t>
      </w:r>
      <w:r w:rsidR="009E2375">
        <w:rPr>
          <w:rFonts w:ascii="Verdana" w:hAnsi="Verdana"/>
          <w:sz w:val="20"/>
          <w:szCs w:val="20"/>
        </w:rPr>
        <w:t xml:space="preserve">by the FMLA Coordinator </w:t>
      </w:r>
      <w:r w:rsidRPr="00A35968">
        <w:rPr>
          <w:rFonts w:ascii="Verdana" w:hAnsi="Verdana"/>
          <w:sz w:val="20"/>
          <w:szCs w:val="20"/>
        </w:rPr>
        <w:t>to this event</w:t>
      </w:r>
    </w:p>
    <w:p w14:paraId="2DD6C1B2" w14:textId="77777777" w:rsidR="00E5505A" w:rsidRPr="00A35968" w:rsidRDefault="00E5505A" w:rsidP="00E5505A">
      <w:pPr>
        <w:pStyle w:val="ListParagraph"/>
        <w:numPr>
          <w:ilvl w:val="2"/>
          <w:numId w:val="6"/>
        </w:numPr>
        <w:rPr>
          <w:rFonts w:ascii="Verdana" w:hAnsi="Verdana"/>
          <w:sz w:val="20"/>
          <w:szCs w:val="20"/>
        </w:rPr>
      </w:pPr>
      <w:r w:rsidRPr="00A35968">
        <w:rPr>
          <w:rFonts w:ascii="Verdana" w:hAnsi="Verdana"/>
          <w:sz w:val="20"/>
          <w:szCs w:val="20"/>
        </w:rPr>
        <w:t>ESF</w:t>
      </w:r>
    </w:p>
    <w:p w14:paraId="22D18F93" w14:textId="77777777" w:rsidR="00E5505A" w:rsidRPr="00A35968" w:rsidRDefault="00E5505A" w:rsidP="00E5505A">
      <w:pPr>
        <w:pStyle w:val="ListParagraph"/>
        <w:numPr>
          <w:ilvl w:val="2"/>
          <w:numId w:val="6"/>
        </w:numPr>
        <w:rPr>
          <w:rFonts w:ascii="Verdana" w:hAnsi="Verdana"/>
          <w:sz w:val="20"/>
          <w:szCs w:val="20"/>
        </w:rPr>
      </w:pPr>
      <w:r w:rsidRPr="00A35968">
        <w:rPr>
          <w:rFonts w:ascii="Verdana" w:hAnsi="Verdana"/>
          <w:sz w:val="20"/>
          <w:szCs w:val="20"/>
        </w:rPr>
        <w:t>ECC</w:t>
      </w:r>
    </w:p>
    <w:p w14:paraId="5C7DCE52" w14:textId="08DC7892" w:rsidR="00E5505A" w:rsidRPr="00A35968" w:rsidRDefault="00E5505A" w:rsidP="00E5505A">
      <w:pPr>
        <w:pStyle w:val="ListParagraph"/>
        <w:numPr>
          <w:ilvl w:val="2"/>
          <w:numId w:val="6"/>
        </w:numPr>
        <w:rPr>
          <w:rFonts w:ascii="Verdana" w:hAnsi="Verdana"/>
          <w:sz w:val="20"/>
          <w:szCs w:val="20"/>
        </w:rPr>
      </w:pPr>
      <w:r w:rsidRPr="00A35968">
        <w:rPr>
          <w:rFonts w:ascii="Verdana" w:hAnsi="Verdana"/>
          <w:sz w:val="20"/>
          <w:szCs w:val="20"/>
        </w:rPr>
        <w:t>The following Y absences types: YA, YCMP, YH, YUFO, YC, YP</w:t>
      </w:r>
    </w:p>
    <w:p w14:paraId="0D0A26E6" w14:textId="77777777" w:rsidR="00185F35" w:rsidRPr="00A35968" w:rsidRDefault="00185F35" w:rsidP="00961EEC">
      <w:pPr>
        <w:pStyle w:val="ListParagraph"/>
        <w:ind w:left="2160"/>
        <w:rPr>
          <w:rFonts w:ascii="Verdana" w:hAnsi="Verdana"/>
          <w:sz w:val="20"/>
          <w:szCs w:val="20"/>
        </w:rPr>
      </w:pPr>
    </w:p>
    <w:p w14:paraId="3FBF5C31" w14:textId="50C9F001" w:rsidR="00E97AAC" w:rsidRPr="00A35968" w:rsidRDefault="00E97AAC" w:rsidP="00961EEC">
      <w:pPr>
        <w:pStyle w:val="ListParagraph"/>
        <w:numPr>
          <w:ilvl w:val="0"/>
          <w:numId w:val="6"/>
        </w:numPr>
        <w:rPr>
          <w:rFonts w:ascii="Verdana" w:hAnsi="Verdana" w:cs="Calibri"/>
          <w:sz w:val="20"/>
          <w:szCs w:val="20"/>
        </w:rPr>
      </w:pPr>
      <w:r w:rsidRPr="00A35968">
        <w:rPr>
          <w:rFonts w:ascii="Verdana" w:hAnsi="Verdana"/>
          <w:sz w:val="20"/>
          <w:szCs w:val="20"/>
        </w:rPr>
        <w:t xml:space="preserve">Eligibility requirement </w:t>
      </w:r>
    </w:p>
    <w:p w14:paraId="2AB1F541" w14:textId="5B2FF84D" w:rsidR="006E3800" w:rsidRPr="00A35968" w:rsidRDefault="00E47476" w:rsidP="00957A4E">
      <w:pPr>
        <w:pStyle w:val="ListParagraph"/>
        <w:numPr>
          <w:ilvl w:val="0"/>
          <w:numId w:val="8"/>
        </w:numPr>
        <w:rPr>
          <w:rFonts w:ascii="Verdana" w:hAnsi="Verdana"/>
          <w:sz w:val="20"/>
          <w:szCs w:val="20"/>
        </w:rPr>
      </w:pPr>
      <w:r w:rsidRPr="00A35968">
        <w:rPr>
          <w:rFonts w:ascii="Verdana" w:hAnsi="Verdana" w:cs="Calibri"/>
          <w:sz w:val="20"/>
          <w:szCs w:val="20"/>
        </w:rPr>
        <w:t xml:space="preserve">At least </w:t>
      </w:r>
      <w:r w:rsidR="00E97AAC" w:rsidRPr="00A35968">
        <w:rPr>
          <w:rFonts w:ascii="Verdana" w:hAnsi="Verdana" w:cs="Calibri"/>
          <w:sz w:val="20"/>
          <w:szCs w:val="20"/>
        </w:rPr>
        <w:t xml:space="preserve">30 calendar days of service since their most recent date of hire </w:t>
      </w:r>
    </w:p>
    <w:p w14:paraId="72EDB879" w14:textId="77777777" w:rsidR="006E3800" w:rsidRPr="00A35968" w:rsidRDefault="00E97AAC" w:rsidP="00B86F31">
      <w:pPr>
        <w:pStyle w:val="ListParagraph"/>
        <w:numPr>
          <w:ilvl w:val="0"/>
          <w:numId w:val="8"/>
        </w:numPr>
        <w:rPr>
          <w:rFonts w:ascii="Verdana" w:hAnsi="Verdana"/>
          <w:sz w:val="20"/>
          <w:szCs w:val="20"/>
        </w:rPr>
      </w:pPr>
      <w:r w:rsidRPr="00A35968">
        <w:rPr>
          <w:rFonts w:ascii="Verdana" w:hAnsi="Verdana" w:cs="Calibri"/>
          <w:sz w:val="20"/>
          <w:szCs w:val="20"/>
        </w:rPr>
        <w:t>Not a separate entitlement - Does not add an additional 12 weeks to the 12 weeks in a 12-month period.</w:t>
      </w:r>
      <w:r w:rsidR="006E3800" w:rsidRPr="00A35968">
        <w:rPr>
          <w:rFonts w:ascii="Verdana" w:hAnsi="Verdana" w:cs="Calibri"/>
          <w:sz w:val="20"/>
          <w:szCs w:val="20"/>
        </w:rPr>
        <w:t xml:space="preserve"> </w:t>
      </w:r>
    </w:p>
    <w:p w14:paraId="27D31273" w14:textId="294AF9A8" w:rsidR="00F84DEF" w:rsidRPr="00F33D29" w:rsidRDefault="005D765F" w:rsidP="00F33D29">
      <w:pPr>
        <w:pStyle w:val="ListParagraph"/>
        <w:numPr>
          <w:ilvl w:val="0"/>
          <w:numId w:val="8"/>
        </w:numPr>
        <w:rPr>
          <w:rFonts w:ascii="Verdana" w:hAnsi="Verdana"/>
          <w:b/>
          <w:bCs/>
          <w:sz w:val="20"/>
          <w:szCs w:val="20"/>
        </w:rPr>
      </w:pPr>
      <w:r w:rsidRPr="00F33D29">
        <w:rPr>
          <w:rFonts w:ascii="Verdana" w:hAnsi="Verdana" w:cs="Calibri"/>
          <w:sz w:val="20"/>
          <w:szCs w:val="20"/>
        </w:rPr>
        <w:t>First 10 days of entitlement must be coded to paid/unpaid Y absence types noted above or ESF and linked</w:t>
      </w:r>
      <w:r w:rsidR="00D56A97" w:rsidRPr="00F33D29">
        <w:rPr>
          <w:rFonts w:ascii="Verdana" w:hAnsi="Verdana" w:cs="Calibri"/>
          <w:sz w:val="20"/>
          <w:szCs w:val="20"/>
        </w:rPr>
        <w:t xml:space="preserve">. </w:t>
      </w:r>
      <w:r w:rsidR="00C66D67" w:rsidRPr="00F33D29">
        <w:rPr>
          <w:rFonts w:ascii="Verdana" w:hAnsi="Verdana" w:cs="Calibri"/>
          <w:sz w:val="20"/>
          <w:szCs w:val="20"/>
        </w:rPr>
        <w:t xml:space="preserve">Note:  Employees cannot use ECC for the first 10 days of absence. </w:t>
      </w:r>
      <w:r w:rsidR="00F84DEF" w:rsidRPr="00F33D29">
        <w:rPr>
          <w:rFonts w:ascii="Verdana" w:hAnsi="Verdana"/>
          <w:b/>
          <w:bCs/>
          <w:sz w:val="20"/>
          <w:szCs w:val="20"/>
        </w:rPr>
        <w:br w:type="page"/>
      </w:r>
    </w:p>
    <w:p w14:paraId="15C1DCDC" w14:textId="45E9724F" w:rsidR="00A41201" w:rsidRPr="00B60DD8" w:rsidRDefault="00A41201" w:rsidP="00A41201">
      <w:pPr>
        <w:rPr>
          <w:rFonts w:ascii="Verdana" w:hAnsi="Verdana"/>
          <w:b/>
          <w:bCs/>
          <w:sz w:val="20"/>
          <w:szCs w:val="20"/>
        </w:rPr>
      </w:pPr>
      <w:r w:rsidRPr="00B60DD8">
        <w:rPr>
          <w:rFonts w:ascii="Verdana" w:hAnsi="Verdana"/>
          <w:b/>
          <w:bCs/>
          <w:sz w:val="20"/>
          <w:szCs w:val="20"/>
        </w:rPr>
        <w:lastRenderedPageBreak/>
        <w:t>Workers’ Compensation Claim Form, ESS/SAP</w:t>
      </w:r>
    </w:p>
    <w:p w14:paraId="4EC20A0D" w14:textId="5BAB835A" w:rsidR="00750396" w:rsidRPr="00A35968" w:rsidRDefault="00750396" w:rsidP="00A41201">
      <w:pPr>
        <w:rPr>
          <w:rFonts w:ascii="Verdana" w:hAnsi="Verdana"/>
          <w:sz w:val="20"/>
          <w:szCs w:val="20"/>
        </w:rPr>
      </w:pPr>
      <w:r w:rsidRPr="00A35968">
        <w:rPr>
          <w:rFonts w:ascii="Verdana" w:hAnsi="Verdana"/>
          <w:sz w:val="20"/>
          <w:szCs w:val="20"/>
        </w:rPr>
        <w:t>Updates to the Workers’ Compensation claim reporting form</w:t>
      </w:r>
      <w:r w:rsidR="00A56FAD" w:rsidRPr="00A35968">
        <w:rPr>
          <w:rFonts w:ascii="Verdana" w:hAnsi="Verdana"/>
          <w:sz w:val="20"/>
          <w:szCs w:val="20"/>
        </w:rPr>
        <w:t xml:space="preserve"> for all five event types</w:t>
      </w:r>
      <w:r w:rsidRPr="00A35968">
        <w:rPr>
          <w:rFonts w:ascii="Verdana" w:hAnsi="Verdana"/>
          <w:sz w:val="20"/>
          <w:szCs w:val="20"/>
        </w:rPr>
        <w:t xml:space="preserve"> in SAP follow:</w:t>
      </w:r>
    </w:p>
    <w:p w14:paraId="147F1F37" w14:textId="00BD0D55" w:rsidR="00750396" w:rsidRPr="00131572" w:rsidRDefault="00BA550D" w:rsidP="00A41201">
      <w:pPr>
        <w:pStyle w:val="ListParagraph"/>
        <w:numPr>
          <w:ilvl w:val="0"/>
          <w:numId w:val="10"/>
        </w:numPr>
        <w:rPr>
          <w:sz w:val="20"/>
          <w:szCs w:val="20"/>
        </w:rPr>
      </w:pPr>
      <w:r w:rsidRPr="00A35968">
        <w:rPr>
          <w:rFonts w:ascii="Verdana" w:hAnsi="Verdana"/>
          <w:sz w:val="20"/>
          <w:szCs w:val="20"/>
        </w:rPr>
        <w:t xml:space="preserve">Nature </w:t>
      </w:r>
      <w:r w:rsidR="00A662FF">
        <w:rPr>
          <w:rFonts w:ascii="Verdana" w:hAnsi="Verdana"/>
          <w:sz w:val="20"/>
          <w:szCs w:val="20"/>
        </w:rPr>
        <w:t xml:space="preserve">of Injury - </w:t>
      </w:r>
      <w:r w:rsidRPr="00A35968">
        <w:rPr>
          <w:rFonts w:ascii="Verdana" w:hAnsi="Verdana"/>
          <w:sz w:val="20"/>
          <w:szCs w:val="20"/>
        </w:rPr>
        <w:t>Code 83</w:t>
      </w:r>
      <w:r w:rsidR="00FC0DA3" w:rsidRPr="00A35968">
        <w:rPr>
          <w:rFonts w:ascii="Verdana" w:hAnsi="Verdana"/>
          <w:sz w:val="20"/>
          <w:szCs w:val="20"/>
        </w:rPr>
        <w:t xml:space="preserve"> for COVID-19 </w:t>
      </w:r>
    </w:p>
    <w:p w14:paraId="5B163CEB" w14:textId="4C6EE6B4" w:rsidR="00131572" w:rsidRPr="002022A0" w:rsidRDefault="00131572" w:rsidP="00131572">
      <w:pPr>
        <w:pStyle w:val="ListParagraph"/>
        <w:numPr>
          <w:ilvl w:val="0"/>
          <w:numId w:val="10"/>
        </w:numPr>
        <w:rPr>
          <w:b/>
          <w:bCs/>
          <w:sz w:val="20"/>
          <w:szCs w:val="20"/>
        </w:rPr>
      </w:pPr>
      <w:r w:rsidRPr="00A35968">
        <w:rPr>
          <w:rFonts w:ascii="Verdana" w:hAnsi="Verdana"/>
          <w:sz w:val="20"/>
          <w:szCs w:val="20"/>
        </w:rPr>
        <w:t xml:space="preserve">Cause </w:t>
      </w:r>
      <w:r w:rsidR="00A662FF">
        <w:rPr>
          <w:rFonts w:ascii="Verdana" w:hAnsi="Verdana"/>
          <w:sz w:val="20"/>
          <w:szCs w:val="20"/>
        </w:rPr>
        <w:t xml:space="preserve">of Injury - </w:t>
      </w:r>
      <w:r w:rsidRPr="00A35968">
        <w:rPr>
          <w:rFonts w:ascii="Verdana" w:hAnsi="Verdana"/>
          <w:sz w:val="20"/>
          <w:szCs w:val="20"/>
        </w:rPr>
        <w:t xml:space="preserve">Code 83 for Pandemic </w:t>
      </w:r>
    </w:p>
    <w:p w14:paraId="23BF1434" w14:textId="77777777" w:rsidR="002022A0" w:rsidRDefault="002022A0" w:rsidP="00750396">
      <w:pPr>
        <w:pStyle w:val="ListParagraph"/>
        <w:ind w:left="360"/>
        <w:rPr>
          <w:sz w:val="20"/>
          <w:szCs w:val="20"/>
        </w:rPr>
      </w:pPr>
    </w:p>
    <w:p w14:paraId="1B29F08E" w14:textId="7476D76B" w:rsidR="00A41201" w:rsidRDefault="00A41201" w:rsidP="00750396">
      <w:pPr>
        <w:pStyle w:val="ListParagraph"/>
        <w:ind w:left="360"/>
        <w:rPr>
          <w:sz w:val="20"/>
          <w:szCs w:val="20"/>
        </w:rPr>
      </w:pPr>
      <w:r w:rsidRPr="00A35968">
        <w:rPr>
          <w:noProof/>
          <w:sz w:val="20"/>
          <w:szCs w:val="20"/>
        </w:rPr>
        <w:drawing>
          <wp:inline distT="0" distB="0" distL="0" distR="0" wp14:anchorId="737D99BA" wp14:editId="67778B3C">
            <wp:extent cx="5212080" cy="1325880"/>
            <wp:effectExtent l="0" t="0" r="7620" b="7620"/>
            <wp:docPr id="1715617549" name="Picture 1715617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212080" cy="1325880"/>
                    </a:xfrm>
                    <a:prstGeom prst="rect">
                      <a:avLst/>
                    </a:prstGeom>
                  </pic:spPr>
                </pic:pic>
              </a:graphicData>
            </a:graphic>
          </wp:inline>
        </w:drawing>
      </w:r>
    </w:p>
    <w:p w14:paraId="0E331D7C" w14:textId="77777777" w:rsidR="002022A0" w:rsidRPr="00A35968" w:rsidRDefault="002022A0" w:rsidP="00750396">
      <w:pPr>
        <w:pStyle w:val="ListParagraph"/>
        <w:ind w:left="360"/>
        <w:rPr>
          <w:sz w:val="20"/>
          <w:szCs w:val="20"/>
        </w:rPr>
      </w:pPr>
    </w:p>
    <w:p w14:paraId="37AA0CD5" w14:textId="7D0FA004" w:rsidR="00124CF9" w:rsidRDefault="00A41201" w:rsidP="00E22CC0">
      <w:pPr>
        <w:ind w:left="360"/>
        <w:rPr>
          <w:rFonts w:ascii="Verdana" w:hAnsi="Verdana"/>
          <w:b/>
          <w:bCs/>
          <w:sz w:val="20"/>
          <w:szCs w:val="20"/>
        </w:rPr>
      </w:pPr>
      <w:r w:rsidRPr="00A35968">
        <w:rPr>
          <w:noProof/>
          <w:sz w:val="20"/>
          <w:szCs w:val="20"/>
        </w:rPr>
        <w:drawing>
          <wp:inline distT="0" distB="0" distL="0" distR="0" wp14:anchorId="1992B78A" wp14:editId="02F6AD9C">
            <wp:extent cx="3017520" cy="1682496"/>
            <wp:effectExtent l="0" t="0" r="0" b="0"/>
            <wp:docPr id="1741407886" name="Picture 1741407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17520" cy="1682496"/>
                    </a:xfrm>
                    <a:prstGeom prst="rect">
                      <a:avLst/>
                    </a:prstGeom>
                  </pic:spPr>
                </pic:pic>
              </a:graphicData>
            </a:graphic>
          </wp:inline>
        </w:drawing>
      </w:r>
    </w:p>
    <w:p w14:paraId="5B7AAEF0" w14:textId="77777777" w:rsidR="002022A0" w:rsidRPr="00A35968" w:rsidRDefault="002022A0" w:rsidP="00E22CC0">
      <w:pPr>
        <w:ind w:left="360"/>
        <w:rPr>
          <w:rFonts w:ascii="Verdana" w:hAnsi="Verdana"/>
          <w:b/>
          <w:bCs/>
          <w:sz w:val="20"/>
          <w:szCs w:val="20"/>
        </w:rPr>
      </w:pPr>
    </w:p>
    <w:p w14:paraId="344EA92E" w14:textId="48BD0FFE" w:rsidR="00562282" w:rsidRPr="00A35968" w:rsidRDefault="00562282" w:rsidP="005D765F">
      <w:pPr>
        <w:pStyle w:val="ListParagraph"/>
        <w:ind w:left="1080"/>
        <w:rPr>
          <w:rFonts w:ascii="Verdana" w:hAnsi="Verdana"/>
          <w:sz w:val="20"/>
          <w:szCs w:val="20"/>
        </w:rPr>
      </w:pPr>
    </w:p>
    <w:p w14:paraId="6E40BCC2" w14:textId="15CC2436" w:rsidR="002022A0" w:rsidRDefault="00562282" w:rsidP="00E22CC0">
      <w:pPr>
        <w:pStyle w:val="ListParagraph"/>
        <w:ind w:left="0"/>
        <w:rPr>
          <w:rFonts w:ascii="Verdana" w:hAnsi="Verdana"/>
          <w:b/>
          <w:bCs/>
          <w:sz w:val="20"/>
          <w:szCs w:val="20"/>
        </w:rPr>
      </w:pPr>
      <w:r w:rsidRPr="00A35968">
        <w:rPr>
          <w:rFonts w:ascii="Verdana" w:hAnsi="Verdana"/>
          <w:b/>
          <w:bCs/>
          <w:sz w:val="20"/>
          <w:szCs w:val="20"/>
        </w:rPr>
        <w:t>Reporting</w:t>
      </w:r>
      <w:r w:rsidR="00E22CC0">
        <w:rPr>
          <w:rFonts w:ascii="Verdana" w:hAnsi="Verdana"/>
          <w:b/>
          <w:bCs/>
          <w:sz w:val="20"/>
          <w:szCs w:val="20"/>
        </w:rPr>
        <w:t xml:space="preserve"> </w:t>
      </w:r>
    </w:p>
    <w:p w14:paraId="5395E8E8" w14:textId="77777777" w:rsidR="002022A0" w:rsidRDefault="002022A0" w:rsidP="00E22CC0">
      <w:pPr>
        <w:pStyle w:val="ListParagraph"/>
        <w:ind w:left="0"/>
        <w:rPr>
          <w:rFonts w:ascii="Verdana" w:hAnsi="Verdana"/>
          <w:b/>
          <w:bCs/>
          <w:sz w:val="20"/>
          <w:szCs w:val="20"/>
        </w:rPr>
      </w:pPr>
    </w:p>
    <w:p w14:paraId="11F5A4E5" w14:textId="6A353200" w:rsidR="00150A2F" w:rsidRPr="00A35968" w:rsidRDefault="00E826D3" w:rsidP="002022A0">
      <w:pPr>
        <w:pStyle w:val="ListParagraph"/>
        <w:numPr>
          <w:ilvl w:val="0"/>
          <w:numId w:val="11"/>
        </w:numPr>
        <w:rPr>
          <w:rFonts w:ascii="Verdana" w:hAnsi="Verdana"/>
          <w:sz w:val="20"/>
          <w:szCs w:val="20"/>
        </w:rPr>
      </w:pPr>
      <w:r w:rsidRPr="00A35968">
        <w:rPr>
          <w:rFonts w:ascii="Verdana" w:hAnsi="Verdana"/>
          <w:sz w:val="20"/>
          <w:szCs w:val="20"/>
        </w:rPr>
        <w:t>New absence types are available in standard and custom SAP time reports</w:t>
      </w:r>
    </w:p>
    <w:p w14:paraId="6086B1E8" w14:textId="77777777" w:rsidR="00150A2F" w:rsidRPr="00A35968" w:rsidRDefault="00150A2F">
      <w:pPr>
        <w:rPr>
          <w:rFonts w:ascii="Verdana" w:hAnsi="Verdana"/>
          <w:sz w:val="20"/>
          <w:szCs w:val="20"/>
        </w:rPr>
      </w:pPr>
      <w:r w:rsidRPr="00A35968">
        <w:rPr>
          <w:rFonts w:ascii="Verdana" w:hAnsi="Verdana"/>
          <w:sz w:val="20"/>
          <w:szCs w:val="20"/>
        </w:rPr>
        <w:br w:type="page"/>
      </w:r>
    </w:p>
    <w:p w14:paraId="23467662" w14:textId="4C7113F9" w:rsidR="000A420F" w:rsidRPr="00A35968" w:rsidRDefault="008007E1" w:rsidP="00B86F31">
      <w:pPr>
        <w:pStyle w:val="ListParagraph"/>
        <w:ind w:left="0"/>
        <w:rPr>
          <w:rFonts w:ascii="Verdana" w:hAnsi="Verdana"/>
          <w:b/>
          <w:bCs/>
          <w:sz w:val="20"/>
          <w:szCs w:val="20"/>
        </w:rPr>
      </w:pPr>
      <w:r w:rsidRPr="00A35968">
        <w:rPr>
          <w:rFonts w:ascii="Verdana" w:hAnsi="Verdana"/>
          <w:b/>
          <w:bCs/>
          <w:sz w:val="20"/>
          <w:szCs w:val="20"/>
        </w:rPr>
        <w:lastRenderedPageBreak/>
        <w:t xml:space="preserve">Manual </w:t>
      </w:r>
      <w:r w:rsidR="00B86F31" w:rsidRPr="00A35968">
        <w:rPr>
          <w:rFonts w:ascii="Verdana" w:hAnsi="Verdana"/>
          <w:b/>
          <w:bCs/>
          <w:sz w:val="20"/>
          <w:szCs w:val="20"/>
        </w:rPr>
        <w:t>P</w:t>
      </w:r>
      <w:r w:rsidRPr="00A35968">
        <w:rPr>
          <w:rFonts w:ascii="Verdana" w:hAnsi="Verdana"/>
          <w:b/>
          <w:bCs/>
          <w:sz w:val="20"/>
          <w:szCs w:val="20"/>
        </w:rPr>
        <w:t>rocesses</w:t>
      </w:r>
    </w:p>
    <w:p w14:paraId="0C73994C" w14:textId="77777777" w:rsidR="00B86F31" w:rsidRPr="00A35968" w:rsidRDefault="00B86F31" w:rsidP="00B86F31">
      <w:pPr>
        <w:pStyle w:val="ListParagraph"/>
        <w:ind w:left="0"/>
        <w:rPr>
          <w:rFonts w:ascii="Verdana" w:hAnsi="Verdana"/>
          <w:b/>
          <w:bCs/>
          <w:sz w:val="20"/>
          <w:szCs w:val="20"/>
        </w:rPr>
      </w:pPr>
    </w:p>
    <w:p w14:paraId="64B51CF6" w14:textId="6E7DC0D1" w:rsidR="00003F6A" w:rsidRPr="00A35968" w:rsidRDefault="00267A8E" w:rsidP="00B86F31">
      <w:pPr>
        <w:pStyle w:val="ListParagraph"/>
        <w:numPr>
          <w:ilvl w:val="0"/>
          <w:numId w:val="1"/>
        </w:numPr>
        <w:rPr>
          <w:rFonts w:ascii="Verdana" w:hAnsi="Verdana"/>
          <w:sz w:val="20"/>
          <w:szCs w:val="20"/>
        </w:rPr>
      </w:pPr>
      <w:r w:rsidRPr="00A35968">
        <w:rPr>
          <w:rFonts w:ascii="Verdana" w:hAnsi="Verdana"/>
          <w:sz w:val="20"/>
          <w:szCs w:val="20"/>
        </w:rPr>
        <w:t>E</w:t>
      </w:r>
      <w:r w:rsidR="008007E1" w:rsidRPr="00A35968">
        <w:rPr>
          <w:rFonts w:ascii="Verdana" w:hAnsi="Verdana"/>
          <w:sz w:val="20"/>
          <w:szCs w:val="20"/>
        </w:rPr>
        <w:t xml:space="preserve">mployees </w:t>
      </w:r>
      <w:r w:rsidR="00F378CE" w:rsidRPr="00A35968">
        <w:rPr>
          <w:rFonts w:ascii="Verdana" w:hAnsi="Verdana"/>
          <w:sz w:val="20"/>
          <w:szCs w:val="20"/>
        </w:rPr>
        <w:t xml:space="preserve">on </w:t>
      </w:r>
      <w:r w:rsidR="008007E1" w:rsidRPr="00A35968">
        <w:rPr>
          <w:rFonts w:ascii="Verdana" w:hAnsi="Verdana"/>
          <w:sz w:val="20"/>
          <w:szCs w:val="20"/>
        </w:rPr>
        <w:t xml:space="preserve">BNOHR </w:t>
      </w:r>
      <w:r w:rsidR="00F378CE" w:rsidRPr="00A35968">
        <w:rPr>
          <w:rFonts w:ascii="Verdana" w:hAnsi="Verdana"/>
          <w:sz w:val="20"/>
          <w:szCs w:val="20"/>
        </w:rPr>
        <w:t>work schedules</w:t>
      </w:r>
      <w:r w:rsidR="005B5E50">
        <w:rPr>
          <w:rFonts w:ascii="Verdana" w:hAnsi="Verdana"/>
          <w:sz w:val="20"/>
          <w:szCs w:val="20"/>
        </w:rPr>
        <w:t xml:space="preserve"> or employees with TMS 0</w:t>
      </w:r>
    </w:p>
    <w:p w14:paraId="39C4192C" w14:textId="2FA3360C" w:rsidR="008007E1" w:rsidRPr="00A35968" w:rsidRDefault="00003F6A" w:rsidP="00B86F31">
      <w:pPr>
        <w:pStyle w:val="ListParagraph"/>
        <w:numPr>
          <w:ilvl w:val="1"/>
          <w:numId w:val="1"/>
        </w:numPr>
        <w:rPr>
          <w:rFonts w:ascii="Verdana" w:hAnsi="Verdana"/>
          <w:sz w:val="20"/>
          <w:szCs w:val="20"/>
        </w:rPr>
      </w:pPr>
      <w:r w:rsidRPr="00A35968">
        <w:rPr>
          <w:rFonts w:ascii="Verdana" w:hAnsi="Verdana"/>
          <w:sz w:val="20"/>
          <w:szCs w:val="20"/>
        </w:rPr>
        <w:t>Q</w:t>
      </w:r>
      <w:r w:rsidR="008007E1" w:rsidRPr="00A35968">
        <w:rPr>
          <w:rFonts w:ascii="Verdana" w:hAnsi="Verdana"/>
          <w:sz w:val="20"/>
          <w:szCs w:val="20"/>
        </w:rPr>
        <w:t>uotas must be manually created via PA61/IT2006 and PA61/IT2013</w:t>
      </w:r>
    </w:p>
    <w:p w14:paraId="78C65B3C" w14:textId="4E9A625B" w:rsidR="002E4688" w:rsidRDefault="004413F2" w:rsidP="005B5E50">
      <w:pPr>
        <w:pStyle w:val="ListParagraph"/>
        <w:numPr>
          <w:ilvl w:val="2"/>
          <w:numId w:val="1"/>
        </w:numPr>
        <w:rPr>
          <w:rFonts w:ascii="Verdana" w:hAnsi="Verdana"/>
          <w:sz w:val="20"/>
          <w:szCs w:val="20"/>
        </w:rPr>
      </w:pPr>
      <w:r w:rsidRPr="005B5E50">
        <w:rPr>
          <w:rFonts w:ascii="Verdana" w:hAnsi="Verdana"/>
          <w:sz w:val="20"/>
          <w:szCs w:val="20"/>
        </w:rPr>
        <w:t>Submit HDT</w:t>
      </w:r>
    </w:p>
    <w:p w14:paraId="13BC2A3B" w14:textId="453F4F3B" w:rsidR="004B4E45" w:rsidRDefault="004B4E45" w:rsidP="004B4E45">
      <w:pPr>
        <w:pStyle w:val="ListParagraph"/>
        <w:numPr>
          <w:ilvl w:val="0"/>
          <w:numId w:val="1"/>
        </w:numPr>
        <w:rPr>
          <w:rFonts w:ascii="Verdana" w:hAnsi="Verdana"/>
          <w:sz w:val="20"/>
          <w:szCs w:val="20"/>
        </w:rPr>
      </w:pPr>
      <w:r>
        <w:rPr>
          <w:rFonts w:ascii="Verdana" w:hAnsi="Verdana"/>
          <w:sz w:val="20"/>
          <w:szCs w:val="20"/>
        </w:rPr>
        <w:t xml:space="preserve">Per Diem Employees </w:t>
      </w:r>
    </w:p>
    <w:p w14:paraId="53EDB184" w14:textId="423CFC74" w:rsidR="004B4E45" w:rsidRDefault="004B4E45" w:rsidP="004B4E45">
      <w:pPr>
        <w:pStyle w:val="ListParagraph"/>
        <w:numPr>
          <w:ilvl w:val="1"/>
          <w:numId w:val="1"/>
        </w:numPr>
        <w:rPr>
          <w:rFonts w:ascii="Verdana" w:hAnsi="Verdana"/>
          <w:sz w:val="20"/>
          <w:szCs w:val="20"/>
        </w:rPr>
      </w:pPr>
      <w:r>
        <w:rPr>
          <w:rFonts w:ascii="Verdana" w:hAnsi="Verdana"/>
          <w:sz w:val="20"/>
          <w:szCs w:val="20"/>
        </w:rPr>
        <w:t>Non-leave accruing; cannot create quotas.  Absences must be manually tracked by Agency to ensure policy compliance and avoid over usage of absence types.</w:t>
      </w:r>
    </w:p>
    <w:p w14:paraId="70D765E7" w14:textId="0316B8AE" w:rsidR="004B4E45" w:rsidRDefault="004B4E45" w:rsidP="004B4E45">
      <w:pPr>
        <w:pStyle w:val="ListParagraph"/>
        <w:numPr>
          <w:ilvl w:val="2"/>
          <w:numId w:val="1"/>
        </w:numPr>
        <w:rPr>
          <w:rFonts w:ascii="Verdana" w:hAnsi="Verdana"/>
          <w:sz w:val="20"/>
          <w:szCs w:val="20"/>
        </w:rPr>
      </w:pPr>
      <w:r>
        <w:rPr>
          <w:rFonts w:ascii="Verdana" w:hAnsi="Verdana"/>
          <w:sz w:val="20"/>
          <w:szCs w:val="20"/>
        </w:rPr>
        <w:t>Submit HDT</w:t>
      </w:r>
    </w:p>
    <w:p w14:paraId="19B79E04" w14:textId="6E2DE285" w:rsidR="004B4E45" w:rsidRDefault="004B4E45" w:rsidP="004B4E45">
      <w:pPr>
        <w:pStyle w:val="ListParagraph"/>
        <w:numPr>
          <w:ilvl w:val="3"/>
          <w:numId w:val="1"/>
        </w:numPr>
        <w:rPr>
          <w:rFonts w:ascii="Verdana" w:hAnsi="Verdana"/>
          <w:sz w:val="20"/>
          <w:szCs w:val="20"/>
        </w:rPr>
      </w:pPr>
      <w:r>
        <w:rPr>
          <w:rFonts w:ascii="Verdana" w:hAnsi="Verdana"/>
          <w:sz w:val="20"/>
          <w:szCs w:val="20"/>
        </w:rPr>
        <w:t>Include start/end date of absence(s), absence type/wage type and daily compensation amount from IT0008</w:t>
      </w:r>
    </w:p>
    <w:p w14:paraId="7157F7CF" w14:textId="79D77901" w:rsidR="00CB5C67" w:rsidRPr="005B5E50" w:rsidRDefault="00CB5C67" w:rsidP="00CB5C67">
      <w:pPr>
        <w:pStyle w:val="ListParagraph"/>
        <w:numPr>
          <w:ilvl w:val="4"/>
          <w:numId w:val="1"/>
        </w:numPr>
        <w:rPr>
          <w:rFonts w:ascii="Verdana" w:hAnsi="Verdana"/>
          <w:sz w:val="20"/>
          <w:szCs w:val="20"/>
        </w:rPr>
      </w:pPr>
      <w:r>
        <w:rPr>
          <w:rFonts w:ascii="Verdana" w:hAnsi="Verdana"/>
          <w:sz w:val="20"/>
          <w:szCs w:val="20"/>
        </w:rPr>
        <w:t xml:space="preserve">HRSC creates CM to request payment via IT2010 </w:t>
      </w:r>
    </w:p>
    <w:p w14:paraId="1B772725" w14:textId="45256619" w:rsidR="00003F6A" w:rsidRPr="00A35968" w:rsidRDefault="004413F2" w:rsidP="00B86F31">
      <w:pPr>
        <w:pStyle w:val="ListParagraph"/>
        <w:numPr>
          <w:ilvl w:val="0"/>
          <w:numId w:val="1"/>
        </w:numPr>
        <w:rPr>
          <w:rFonts w:ascii="Verdana" w:hAnsi="Verdana"/>
          <w:sz w:val="20"/>
          <w:szCs w:val="20"/>
        </w:rPr>
      </w:pPr>
      <w:r w:rsidRPr="00A35968">
        <w:rPr>
          <w:rFonts w:ascii="Verdana" w:hAnsi="Verdana"/>
          <w:sz w:val="20"/>
          <w:szCs w:val="20"/>
        </w:rPr>
        <w:t>Employee Subgroup (</w:t>
      </w:r>
      <w:r w:rsidR="008007E1" w:rsidRPr="00A35968">
        <w:rPr>
          <w:rFonts w:ascii="Verdana" w:hAnsi="Verdana"/>
          <w:sz w:val="20"/>
          <w:szCs w:val="20"/>
        </w:rPr>
        <w:t xml:space="preserve">P7/P8) </w:t>
      </w:r>
    </w:p>
    <w:p w14:paraId="1D945123" w14:textId="20FE5809" w:rsidR="008007E1" w:rsidRPr="00A35968" w:rsidRDefault="00003F6A" w:rsidP="00B86F31">
      <w:pPr>
        <w:pStyle w:val="ListParagraph"/>
        <w:numPr>
          <w:ilvl w:val="1"/>
          <w:numId w:val="1"/>
        </w:numPr>
        <w:rPr>
          <w:rFonts w:ascii="Verdana" w:hAnsi="Verdana"/>
          <w:sz w:val="20"/>
          <w:szCs w:val="20"/>
        </w:rPr>
      </w:pPr>
      <w:r w:rsidRPr="00A35968">
        <w:rPr>
          <w:rFonts w:ascii="Verdana" w:hAnsi="Verdana"/>
          <w:sz w:val="20"/>
          <w:szCs w:val="20"/>
        </w:rPr>
        <w:t>Q</w:t>
      </w:r>
      <w:r w:rsidR="008007E1" w:rsidRPr="00A35968">
        <w:rPr>
          <w:rFonts w:ascii="Verdana" w:hAnsi="Verdana"/>
          <w:sz w:val="20"/>
          <w:szCs w:val="20"/>
        </w:rPr>
        <w:t xml:space="preserve">uotas </w:t>
      </w:r>
      <w:r w:rsidR="00B974B0">
        <w:rPr>
          <w:rFonts w:ascii="Verdana" w:hAnsi="Verdana"/>
          <w:sz w:val="20"/>
          <w:szCs w:val="20"/>
        </w:rPr>
        <w:t>were</w:t>
      </w:r>
      <w:r w:rsidR="004413F2" w:rsidRPr="00A35968">
        <w:rPr>
          <w:rFonts w:ascii="Verdana" w:hAnsi="Verdana"/>
          <w:sz w:val="20"/>
          <w:szCs w:val="20"/>
        </w:rPr>
        <w:t xml:space="preserve"> loaded, and hours zeroed out</w:t>
      </w:r>
      <w:r w:rsidR="00D56A97" w:rsidRPr="00A35968">
        <w:rPr>
          <w:rFonts w:ascii="Verdana" w:hAnsi="Verdana"/>
          <w:sz w:val="20"/>
          <w:szCs w:val="20"/>
        </w:rPr>
        <w:t xml:space="preserve">. </w:t>
      </w:r>
      <w:r w:rsidR="004413F2" w:rsidRPr="00A35968">
        <w:rPr>
          <w:rFonts w:ascii="Verdana" w:hAnsi="Verdana"/>
          <w:sz w:val="20"/>
          <w:szCs w:val="20"/>
        </w:rPr>
        <w:t xml:space="preserve">Hours will be manually loaded via PA61/IT2013 based upon the number of hours the employee worked in the previous 6-month period (per Emergency FMLA Expansion Act) for employees who are </w:t>
      </w:r>
      <w:r w:rsidR="00D23247" w:rsidRPr="00D23247">
        <w:rPr>
          <w:rFonts w:ascii="Verdana" w:hAnsi="Verdana"/>
          <w:sz w:val="20"/>
          <w:szCs w:val="20"/>
          <w:u w:val="single"/>
        </w:rPr>
        <w:t xml:space="preserve">NOT </w:t>
      </w:r>
      <w:r w:rsidR="004413F2" w:rsidRPr="00D23247">
        <w:rPr>
          <w:rFonts w:ascii="Verdana" w:hAnsi="Verdana"/>
          <w:sz w:val="20"/>
          <w:szCs w:val="20"/>
          <w:u w:val="single"/>
        </w:rPr>
        <w:t>working a consistent schedule</w:t>
      </w:r>
      <w:r w:rsidR="004413F2" w:rsidRPr="00A35968">
        <w:rPr>
          <w:rFonts w:ascii="Verdana" w:hAnsi="Verdana"/>
          <w:sz w:val="20"/>
          <w:szCs w:val="20"/>
        </w:rPr>
        <w:t xml:space="preserve">. </w:t>
      </w:r>
    </w:p>
    <w:p w14:paraId="35CE56CE" w14:textId="3021EEFD" w:rsidR="00E34F9D" w:rsidRPr="00A35968" w:rsidRDefault="004413F2" w:rsidP="00B86F31">
      <w:pPr>
        <w:pStyle w:val="ListParagraph"/>
        <w:numPr>
          <w:ilvl w:val="2"/>
          <w:numId w:val="1"/>
        </w:numPr>
        <w:rPr>
          <w:rFonts w:ascii="Verdana" w:hAnsi="Verdana"/>
          <w:sz w:val="20"/>
          <w:szCs w:val="20"/>
        </w:rPr>
      </w:pPr>
      <w:r w:rsidRPr="00A35968">
        <w:rPr>
          <w:rFonts w:ascii="Verdana" w:hAnsi="Verdana"/>
          <w:sz w:val="20"/>
          <w:szCs w:val="20"/>
        </w:rPr>
        <w:t>Submit HDT</w:t>
      </w:r>
      <w:r w:rsidR="00783E9B" w:rsidRPr="00A35968">
        <w:rPr>
          <w:rFonts w:ascii="Verdana" w:hAnsi="Verdana"/>
          <w:sz w:val="20"/>
          <w:szCs w:val="20"/>
        </w:rPr>
        <w:t xml:space="preserve"> </w:t>
      </w:r>
      <w:r w:rsidR="00496B6B" w:rsidRPr="00A35968">
        <w:rPr>
          <w:rFonts w:ascii="Verdana" w:hAnsi="Verdana"/>
          <w:sz w:val="20"/>
          <w:szCs w:val="20"/>
        </w:rPr>
        <w:t>upon part-time employee’s need to use absence</w:t>
      </w:r>
      <w:r w:rsidR="00E34F9D" w:rsidRPr="00A35968">
        <w:rPr>
          <w:rFonts w:ascii="Verdana" w:hAnsi="Verdana"/>
          <w:sz w:val="20"/>
          <w:szCs w:val="20"/>
        </w:rPr>
        <w:t xml:space="preserve"> to have quota hours loaded. </w:t>
      </w:r>
    </w:p>
    <w:p w14:paraId="7FA4D6B4" w14:textId="74853C58" w:rsidR="0044536B" w:rsidRPr="00A35968" w:rsidRDefault="0044536B" w:rsidP="00B86F31">
      <w:pPr>
        <w:pStyle w:val="ListParagraph"/>
        <w:numPr>
          <w:ilvl w:val="1"/>
          <w:numId w:val="1"/>
        </w:numPr>
        <w:rPr>
          <w:rFonts w:ascii="Verdana" w:hAnsi="Verdana"/>
          <w:sz w:val="20"/>
          <w:szCs w:val="20"/>
        </w:rPr>
      </w:pPr>
      <w:r w:rsidRPr="00A35968">
        <w:rPr>
          <w:rFonts w:ascii="Verdana" w:hAnsi="Verdana"/>
          <w:sz w:val="20"/>
          <w:szCs w:val="20"/>
        </w:rPr>
        <w:t xml:space="preserve">HR Service Center Time Services Division will run a weekly report to identify </w:t>
      </w:r>
      <w:r w:rsidR="00290CD9" w:rsidRPr="00A35968">
        <w:rPr>
          <w:rFonts w:ascii="Verdana" w:hAnsi="Verdana"/>
          <w:sz w:val="20"/>
          <w:szCs w:val="20"/>
        </w:rPr>
        <w:t xml:space="preserve">employees </w:t>
      </w:r>
      <w:r w:rsidR="00961CAF" w:rsidRPr="00A35968">
        <w:rPr>
          <w:rFonts w:ascii="Verdana" w:hAnsi="Verdana"/>
          <w:sz w:val="20"/>
          <w:szCs w:val="20"/>
        </w:rPr>
        <w:t>hired after</w:t>
      </w:r>
      <w:r w:rsidR="00547705" w:rsidRPr="00A35968">
        <w:rPr>
          <w:rFonts w:ascii="Verdana" w:hAnsi="Verdana"/>
          <w:sz w:val="20"/>
          <w:szCs w:val="20"/>
        </w:rPr>
        <w:t xml:space="preserve"> 4/1/2020 </w:t>
      </w:r>
      <w:r w:rsidR="00290CD9" w:rsidRPr="00A35968">
        <w:rPr>
          <w:rFonts w:ascii="Verdana" w:hAnsi="Verdana"/>
          <w:sz w:val="20"/>
          <w:szCs w:val="20"/>
        </w:rPr>
        <w:t>and remove quota</w:t>
      </w:r>
      <w:r w:rsidR="00DD6A98" w:rsidRPr="00A35968">
        <w:rPr>
          <w:rFonts w:ascii="Verdana" w:hAnsi="Verdana"/>
          <w:sz w:val="20"/>
          <w:szCs w:val="20"/>
        </w:rPr>
        <w:t xml:space="preserve">. </w:t>
      </w:r>
    </w:p>
    <w:p w14:paraId="32A41544" w14:textId="10C9FE00" w:rsidR="00652D5C" w:rsidRPr="00A35968" w:rsidRDefault="00652D5C" w:rsidP="00B86F31">
      <w:pPr>
        <w:pStyle w:val="ListParagraph"/>
        <w:numPr>
          <w:ilvl w:val="2"/>
          <w:numId w:val="1"/>
        </w:numPr>
        <w:rPr>
          <w:rFonts w:ascii="Verdana" w:hAnsi="Verdana"/>
          <w:sz w:val="20"/>
          <w:szCs w:val="20"/>
        </w:rPr>
      </w:pPr>
      <w:r w:rsidRPr="00A35968">
        <w:rPr>
          <w:rFonts w:ascii="Verdana" w:hAnsi="Verdana"/>
          <w:sz w:val="20"/>
          <w:szCs w:val="20"/>
        </w:rPr>
        <w:t>Submit HDT</w:t>
      </w:r>
      <w:r w:rsidR="00173620" w:rsidRPr="00A35968">
        <w:rPr>
          <w:rFonts w:ascii="Verdana" w:hAnsi="Verdana"/>
          <w:sz w:val="20"/>
          <w:szCs w:val="20"/>
        </w:rPr>
        <w:t xml:space="preserve"> upon part-time employee’s need to use absence</w:t>
      </w:r>
      <w:r w:rsidR="006C1B73" w:rsidRPr="00A35968">
        <w:rPr>
          <w:rFonts w:ascii="Verdana" w:hAnsi="Verdana"/>
          <w:sz w:val="20"/>
          <w:szCs w:val="20"/>
        </w:rPr>
        <w:t xml:space="preserve"> </w:t>
      </w:r>
      <w:r w:rsidR="00E34F9D" w:rsidRPr="00A35968">
        <w:rPr>
          <w:rFonts w:ascii="Verdana" w:hAnsi="Verdana"/>
          <w:sz w:val="20"/>
          <w:szCs w:val="20"/>
        </w:rPr>
        <w:t>to have</w:t>
      </w:r>
      <w:r w:rsidR="006C1B73" w:rsidRPr="00A35968">
        <w:rPr>
          <w:rFonts w:ascii="Verdana" w:hAnsi="Verdana"/>
          <w:sz w:val="20"/>
          <w:szCs w:val="20"/>
        </w:rPr>
        <w:t xml:space="preserve"> quota hours </w:t>
      </w:r>
      <w:r w:rsidR="00E34F9D" w:rsidRPr="00A35968">
        <w:rPr>
          <w:rFonts w:ascii="Verdana" w:hAnsi="Verdana"/>
          <w:sz w:val="20"/>
          <w:szCs w:val="20"/>
        </w:rPr>
        <w:t xml:space="preserve">loaded. </w:t>
      </w:r>
    </w:p>
    <w:p w14:paraId="7C9CE0F3" w14:textId="79AE97A9" w:rsidR="0048321C" w:rsidRPr="00A35968" w:rsidRDefault="00B92AE3" w:rsidP="00B86F31">
      <w:pPr>
        <w:pStyle w:val="ListParagraph"/>
        <w:numPr>
          <w:ilvl w:val="0"/>
          <w:numId w:val="1"/>
        </w:numPr>
        <w:rPr>
          <w:rFonts w:ascii="Verdana" w:hAnsi="Verdana"/>
          <w:sz w:val="20"/>
          <w:szCs w:val="20"/>
        </w:rPr>
      </w:pPr>
      <w:r w:rsidRPr="00A35968">
        <w:rPr>
          <w:rFonts w:ascii="Verdana" w:hAnsi="Verdana"/>
          <w:sz w:val="20"/>
          <w:szCs w:val="20"/>
        </w:rPr>
        <w:t>E</w:t>
      </w:r>
      <w:r w:rsidR="00B44050" w:rsidRPr="00A35968">
        <w:rPr>
          <w:rFonts w:ascii="Verdana" w:hAnsi="Verdana"/>
          <w:sz w:val="20"/>
          <w:szCs w:val="20"/>
        </w:rPr>
        <w:t xml:space="preserve">mergency Responders and Healthcare Providers </w:t>
      </w:r>
      <w:r w:rsidR="005853A8" w:rsidRPr="00A35968">
        <w:rPr>
          <w:rFonts w:ascii="Verdana" w:hAnsi="Verdana"/>
          <w:sz w:val="20"/>
          <w:szCs w:val="20"/>
        </w:rPr>
        <w:t xml:space="preserve">are </w:t>
      </w:r>
      <w:r w:rsidR="005853A8" w:rsidRPr="005515CC">
        <w:rPr>
          <w:rFonts w:ascii="Verdana" w:hAnsi="Verdana"/>
          <w:b/>
          <w:bCs/>
          <w:sz w:val="20"/>
          <w:szCs w:val="20"/>
          <w:u w:val="single"/>
        </w:rPr>
        <w:t>not</w:t>
      </w:r>
      <w:r w:rsidR="005853A8" w:rsidRPr="00A35968">
        <w:rPr>
          <w:rFonts w:ascii="Verdana" w:hAnsi="Verdana"/>
          <w:sz w:val="20"/>
          <w:szCs w:val="20"/>
        </w:rPr>
        <w:t xml:space="preserve"> </w:t>
      </w:r>
      <w:r w:rsidR="00CB3E97" w:rsidRPr="00A35968">
        <w:rPr>
          <w:rFonts w:ascii="Verdana" w:hAnsi="Verdana"/>
          <w:sz w:val="20"/>
          <w:szCs w:val="20"/>
        </w:rPr>
        <w:t>eligible f</w:t>
      </w:r>
      <w:r w:rsidR="003D42A2" w:rsidRPr="00A35968">
        <w:rPr>
          <w:rFonts w:ascii="Verdana" w:hAnsi="Verdana"/>
          <w:sz w:val="20"/>
          <w:szCs w:val="20"/>
        </w:rPr>
        <w:t xml:space="preserve">or </w:t>
      </w:r>
      <w:r w:rsidR="00FC0F56" w:rsidRPr="00A35968">
        <w:rPr>
          <w:rFonts w:ascii="Verdana" w:hAnsi="Verdana"/>
          <w:sz w:val="20"/>
          <w:szCs w:val="20"/>
        </w:rPr>
        <w:t xml:space="preserve">ESF and </w:t>
      </w:r>
      <w:r w:rsidR="003D42A2" w:rsidRPr="00A35968">
        <w:rPr>
          <w:rFonts w:ascii="Verdana" w:hAnsi="Verdana"/>
          <w:sz w:val="20"/>
          <w:szCs w:val="20"/>
        </w:rPr>
        <w:t>ECC entitlement</w:t>
      </w:r>
      <w:r w:rsidR="00CB3E97" w:rsidRPr="00A35968">
        <w:rPr>
          <w:rFonts w:ascii="Verdana" w:hAnsi="Verdana"/>
          <w:sz w:val="20"/>
          <w:szCs w:val="20"/>
        </w:rPr>
        <w:t xml:space="preserve"> </w:t>
      </w:r>
      <w:r w:rsidR="00FC0F56" w:rsidRPr="00A35968">
        <w:rPr>
          <w:rFonts w:ascii="Verdana" w:hAnsi="Verdana"/>
          <w:sz w:val="20"/>
          <w:szCs w:val="20"/>
        </w:rPr>
        <w:t>fo</w:t>
      </w:r>
      <w:r w:rsidR="007C3455" w:rsidRPr="00A35968">
        <w:rPr>
          <w:rFonts w:ascii="Verdana" w:hAnsi="Verdana"/>
          <w:sz w:val="20"/>
          <w:szCs w:val="20"/>
        </w:rPr>
        <w:t xml:space="preserve">r childcare </w:t>
      </w:r>
      <w:r w:rsidR="00CB3E97" w:rsidRPr="00A35968">
        <w:rPr>
          <w:rFonts w:ascii="Verdana" w:hAnsi="Verdana"/>
          <w:sz w:val="20"/>
          <w:szCs w:val="20"/>
        </w:rPr>
        <w:t xml:space="preserve">per the </w:t>
      </w:r>
      <w:r w:rsidR="007C3455" w:rsidRPr="00A35968">
        <w:rPr>
          <w:rFonts w:ascii="Verdana" w:hAnsi="Verdana"/>
          <w:sz w:val="20"/>
          <w:szCs w:val="20"/>
        </w:rPr>
        <w:t>policy</w:t>
      </w:r>
      <w:r w:rsidR="00724B59">
        <w:rPr>
          <w:rFonts w:ascii="Verdana" w:hAnsi="Verdana"/>
          <w:sz w:val="20"/>
          <w:szCs w:val="20"/>
        </w:rPr>
        <w:t>.</w:t>
      </w:r>
      <w:r w:rsidR="005853A8" w:rsidRPr="00A35968">
        <w:rPr>
          <w:rFonts w:ascii="Verdana" w:hAnsi="Verdana"/>
          <w:sz w:val="20"/>
          <w:szCs w:val="20"/>
        </w:rPr>
        <w:t xml:space="preserve"> </w:t>
      </w:r>
    </w:p>
    <w:p w14:paraId="2085B580" w14:textId="18591A6A" w:rsidR="00BD068C" w:rsidRPr="007510C0" w:rsidRDefault="00231223" w:rsidP="00B86F31">
      <w:pPr>
        <w:pStyle w:val="ListParagraph"/>
        <w:numPr>
          <w:ilvl w:val="1"/>
          <w:numId w:val="1"/>
        </w:numPr>
        <w:rPr>
          <w:rFonts w:ascii="Verdana" w:hAnsi="Verdana"/>
          <w:sz w:val="20"/>
          <w:szCs w:val="20"/>
        </w:rPr>
      </w:pPr>
      <w:r w:rsidRPr="007510C0">
        <w:rPr>
          <w:rFonts w:ascii="Verdana" w:hAnsi="Verdana"/>
          <w:sz w:val="20"/>
          <w:szCs w:val="20"/>
        </w:rPr>
        <w:t xml:space="preserve">QT23 will be zeroed out </w:t>
      </w:r>
    </w:p>
    <w:p w14:paraId="4F45574C" w14:textId="0CE79CA6" w:rsidR="00F15AB0" w:rsidRDefault="00F15AB0" w:rsidP="00F15AB0">
      <w:pPr>
        <w:pStyle w:val="ListParagraph"/>
        <w:numPr>
          <w:ilvl w:val="2"/>
          <w:numId w:val="1"/>
        </w:numPr>
        <w:rPr>
          <w:rFonts w:ascii="Verdana" w:hAnsi="Verdana"/>
          <w:sz w:val="20"/>
          <w:szCs w:val="20"/>
        </w:rPr>
      </w:pPr>
      <w:r w:rsidRPr="00A35968">
        <w:rPr>
          <w:rFonts w:ascii="Verdana" w:hAnsi="Verdana"/>
          <w:sz w:val="20"/>
          <w:szCs w:val="20"/>
        </w:rPr>
        <w:t xml:space="preserve">HR Service Center Time Services Division will run a weekly report to identify employees hired after 4/1/2020 and remove </w:t>
      </w:r>
      <w:r>
        <w:rPr>
          <w:rFonts w:ascii="Verdana" w:hAnsi="Verdana"/>
          <w:sz w:val="20"/>
          <w:szCs w:val="20"/>
        </w:rPr>
        <w:t xml:space="preserve">ECC </w:t>
      </w:r>
      <w:r w:rsidRPr="00A35968">
        <w:rPr>
          <w:rFonts w:ascii="Verdana" w:hAnsi="Verdana"/>
          <w:sz w:val="20"/>
          <w:szCs w:val="20"/>
        </w:rPr>
        <w:t xml:space="preserve">quota. </w:t>
      </w:r>
    </w:p>
    <w:p w14:paraId="42F3AA67" w14:textId="11CA8202" w:rsidR="008007E1" w:rsidRPr="00A35968" w:rsidRDefault="008007E1" w:rsidP="00B86F31">
      <w:pPr>
        <w:pStyle w:val="ListParagraph"/>
        <w:numPr>
          <w:ilvl w:val="0"/>
          <w:numId w:val="1"/>
        </w:numPr>
        <w:rPr>
          <w:rFonts w:ascii="Verdana" w:hAnsi="Verdana"/>
          <w:sz w:val="20"/>
          <w:szCs w:val="20"/>
        </w:rPr>
      </w:pPr>
      <w:r w:rsidRPr="00A35968">
        <w:rPr>
          <w:rFonts w:ascii="Verdana" w:hAnsi="Verdana"/>
          <w:sz w:val="20"/>
          <w:szCs w:val="20"/>
        </w:rPr>
        <w:t>Employee</w:t>
      </w:r>
      <w:r w:rsidR="006A6206" w:rsidRPr="00A35968">
        <w:rPr>
          <w:rFonts w:ascii="Verdana" w:hAnsi="Verdana"/>
          <w:sz w:val="20"/>
          <w:szCs w:val="20"/>
        </w:rPr>
        <w:t>’</w:t>
      </w:r>
      <w:r w:rsidRPr="00A35968">
        <w:rPr>
          <w:rFonts w:ascii="Verdana" w:hAnsi="Verdana"/>
          <w:sz w:val="20"/>
          <w:szCs w:val="20"/>
        </w:rPr>
        <w:t xml:space="preserve">s shift spans midnight and wants to use </w:t>
      </w:r>
      <w:r w:rsidR="00943377" w:rsidRPr="00A35968">
        <w:rPr>
          <w:rFonts w:ascii="Verdana" w:hAnsi="Verdana"/>
          <w:sz w:val="20"/>
          <w:szCs w:val="20"/>
        </w:rPr>
        <w:t>ES, ESF, ESA a</w:t>
      </w:r>
      <w:r w:rsidRPr="00A35968">
        <w:rPr>
          <w:rFonts w:ascii="Verdana" w:hAnsi="Verdana"/>
          <w:sz w:val="20"/>
          <w:szCs w:val="20"/>
        </w:rPr>
        <w:t xml:space="preserve">bsence on </w:t>
      </w:r>
      <w:r w:rsidR="00943377" w:rsidRPr="00A35968">
        <w:rPr>
          <w:rFonts w:ascii="Verdana" w:hAnsi="Verdana"/>
          <w:sz w:val="20"/>
          <w:szCs w:val="20"/>
        </w:rPr>
        <w:t>3/31</w:t>
      </w:r>
      <w:r w:rsidRPr="00A35968">
        <w:rPr>
          <w:rFonts w:ascii="Verdana" w:hAnsi="Verdana"/>
          <w:sz w:val="20"/>
          <w:szCs w:val="20"/>
        </w:rPr>
        <w:t xml:space="preserve">/2020 or </w:t>
      </w:r>
      <w:r w:rsidR="00943377" w:rsidRPr="00A35968">
        <w:rPr>
          <w:rFonts w:ascii="Verdana" w:hAnsi="Verdana"/>
          <w:sz w:val="20"/>
          <w:szCs w:val="20"/>
        </w:rPr>
        <w:t xml:space="preserve">ECC on </w:t>
      </w:r>
      <w:r w:rsidRPr="00A35968">
        <w:rPr>
          <w:rFonts w:ascii="Verdana" w:hAnsi="Verdana"/>
          <w:sz w:val="20"/>
          <w:szCs w:val="20"/>
        </w:rPr>
        <w:t>4/1</w:t>
      </w:r>
      <w:r w:rsidR="00943377" w:rsidRPr="00A35968">
        <w:rPr>
          <w:rFonts w:ascii="Verdana" w:hAnsi="Verdana"/>
          <w:sz w:val="20"/>
          <w:szCs w:val="20"/>
        </w:rPr>
        <w:t>0</w:t>
      </w:r>
      <w:r w:rsidRPr="00A35968">
        <w:rPr>
          <w:rFonts w:ascii="Verdana" w:hAnsi="Verdana"/>
          <w:sz w:val="20"/>
          <w:szCs w:val="20"/>
        </w:rPr>
        <w:t>/2020.</w:t>
      </w:r>
    </w:p>
    <w:p w14:paraId="20686935" w14:textId="0D8B4110" w:rsidR="00AE6715" w:rsidRPr="00A35968" w:rsidRDefault="008007E1" w:rsidP="00293216">
      <w:pPr>
        <w:pStyle w:val="ListParagraph"/>
        <w:numPr>
          <w:ilvl w:val="1"/>
          <w:numId w:val="1"/>
        </w:numPr>
        <w:rPr>
          <w:rFonts w:ascii="Verdana" w:hAnsi="Verdana"/>
          <w:sz w:val="20"/>
          <w:szCs w:val="20"/>
        </w:rPr>
      </w:pPr>
      <w:r w:rsidRPr="00A35968">
        <w:rPr>
          <w:rFonts w:ascii="Verdana" w:hAnsi="Verdana"/>
          <w:sz w:val="20"/>
          <w:szCs w:val="20"/>
        </w:rPr>
        <w:t>Substitution</w:t>
      </w:r>
      <w:r w:rsidR="00943377" w:rsidRPr="00A35968">
        <w:rPr>
          <w:rFonts w:ascii="Verdana" w:hAnsi="Verdana"/>
          <w:sz w:val="20"/>
          <w:szCs w:val="20"/>
        </w:rPr>
        <w:t>(s)</w:t>
      </w:r>
      <w:r w:rsidRPr="00A35968">
        <w:rPr>
          <w:rFonts w:ascii="Verdana" w:hAnsi="Verdana"/>
          <w:sz w:val="20"/>
          <w:szCs w:val="20"/>
        </w:rPr>
        <w:t xml:space="preserve"> need</w:t>
      </w:r>
      <w:r w:rsidR="00943377" w:rsidRPr="00A35968">
        <w:rPr>
          <w:rFonts w:ascii="Verdana" w:hAnsi="Verdana"/>
          <w:sz w:val="20"/>
          <w:szCs w:val="20"/>
        </w:rPr>
        <w:t>ed</w:t>
      </w:r>
      <w:r w:rsidRPr="00A35968">
        <w:rPr>
          <w:rFonts w:ascii="Verdana" w:hAnsi="Verdana"/>
          <w:sz w:val="20"/>
          <w:szCs w:val="20"/>
        </w:rPr>
        <w:t xml:space="preserve"> to change shift(s)</w:t>
      </w:r>
      <w:r w:rsidR="00943377" w:rsidRPr="00A35968">
        <w:rPr>
          <w:rFonts w:ascii="Verdana" w:hAnsi="Verdana"/>
          <w:sz w:val="20"/>
          <w:szCs w:val="20"/>
        </w:rPr>
        <w:t xml:space="preserve"> because the absence date is before the quota effective date. </w:t>
      </w:r>
    </w:p>
    <w:p w14:paraId="749262CC" w14:textId="6D6D97E0" w:rsidR="008007E1" w:rsidRPr="00A35968" w:rsidRDefault="00943377" w:rsidP="00B86F31">
      <w:pPr>
        <w:pStyle w:val="ListParagraph"/>
        <w:numPr>
          <w:ilvl w:val="2"/>
          <w:numId w:val="1"/>
        </w:numPr>
        <w:rPr>
          <w:rFonts w:ascii="Verdana" w:hAnsi="Verdana"/>
          <w:sz w:val="20"/>
          <w:szCs w:val="20"/>
        </w:rPr>
      </w:pPr>
      <w:r w:rsidRPr="00A35968">
        <w:rPr>
          <w:rFonts w:ascii="Verdana" w:hAnsi="Verdana"/>
          <w:sz w:val="20"/>
          <w:szCs w:val="20"/>
        </w:rPr>
        <w:t>Submit HDT</w:t>
      </w:r>
      <w:r w:rsidR="008007E1" w:rsidRPr="00A35968">
        <w:rPr>
          <w:rFonts w:ascii="Verdana" w:hAnsi="Verdana"/>
          <w:sz w:val="20"/>
          <w:szCs w:val="20"/>
        </w:rPr>
        <w:t xml:space="preserve"> </w:t>
      </w:r>
    </w:p>
    <w:p w14:paraId="5F78F8A9" w14:textId="77777777" w:rsidR="00D56A97" w:rsidRDefault="00D56A97" w:rsidP="00B86F31">
      <w:pPr>
        <w:rPr>
          <w:rFonts w:ascii="Verdana" w:hAnsi="Verdana"/>
          <w:b/>
          <w:bCs/>
          <w:sz w:val="20"/>
          <w:szCs w:val="20"/>
        </w:rPr>
      </w:pPr>
    </w:p>
    <w:p w14:paraId="2EE5329B" w14:textId="4BAA4DD6" w:rsidR="008007E1" w:rsidRPr="00A35968" w:rsidRDefault="00AE6715" w:rsidP="00B86F31">
      <w:pPr>
        <w:rPr>
          <w:rFonts w:ascii="Verdana" w:hAnsi="Verdana"/>
          <w:b/>
          <w:bCs/>
          <w:sz w:val="20"/>
          <w:szCs w:val="20"/>
        </w:rPr>
      </w:pPr>
      <w:r w:rsidRPr="00A35968">
        <w:rPr>
          <w:rFonts w:ascii="Verdana" w:hAnsi="Verdana"/>
          <w:b/>
          <w:bCs/>
          <w:sz w:val="20"/>
          <w:szCs w:val="20"/>
        </w:rPr>
        <w:t>Things to Keep in Mind</w:t>
      </w:r>
    </w:p>
    <w:p w14:paraId="29D33FF3" w14:textId="150DDA6A" w:rsidR="008007E1" w:rsidRPr="00A35968" w:rsidRDefault="008007E1" w:rsidP="008007E1">
      <w:pPr>
        <w:pStyle w:val="ListParagraph"/>
        <w:numPr>
          <w:ilvl w:val="0"/>
          <w:numId w:val="2"/>
        </w:numPr>
        <w:rPr>
          <w:rFonts w:ascii="Verdana" w:hAnsi="Verdana"/>
          <w:sz w:val="20"/>
          <w:szCs w:val="20"/>
        </w:rPr>
      </w:pPr>
      <w:r w:rsidRPr="00A35968">
        <w:rPr>
          <w:rFonts w:ascii="Verdana" w:hAnsi="Verdana"/>
          <w:sz w:val="20"/>
          <w:szCs w:val="20"/>
        </w:rPr>
        <w:t xml:space="preserve">New hires </w:t>
      </w:r>
      <w:r w:rsidR="008D6165">
        <w:rPr>
          <w:rFonts w:ascii="Verdana" w:hAnsi="Verdana"/>
          <w:sz w:val="20"/>
          <w:szCs w:val="20"/>
        </w:rPr>
        <w:t xml:space="preserve">after 4/1/2020 </w:t>
      </w:r>
      <w:r w:rsidRPr="00A35968">
        <w:rPr>
          <w:rFonts w:ascii="Verdana" w:hAnsi="Verdana"/>
          <w:sz w:val="20"/>
          <w:szCs w:val="20"/>
        </w:rPr>
        <w:t xml:space="preserve">receive the same entitlement </w:t>
      </w:r>
      <w:r w:rsidR="00B46F9F">
        <w:rPr>
          <w:rFonts w:ascii="Verdana" w:hAnsi="Verdana"/>
          <w:sz w:val="20"/>
          <w:szCs w:val="20"/>
        </w:rPr>
        <w:t>for absence types ES, ESF, ESA and ECC</w:t>
      </w:r>
      <w:r w:rsidR="00B260E6">
        <w:rPr>
          <w:rFonts w:ascii="Verdana" w:hAnsi="Verdana"/>
          <w:sz w:val="20"/>
          <w:szCs w:val="20"/>
        </w:rPr>
        <w:t xml:space="preserve"> (must meet </w:t>
      </w:r>
      <w:r w:rsidR="008220AE">
        <w:rPr>
          <w:rFonts w:ascii="Verdana" w:hAnsi="Verdana"/>
          <w:sz w:val="20"/>
          <w:szCs w:val="20"/>
        </w:rPr>
        <w:t>30+ day service requirement)</w:t>
      </w:r>
      <w:r w:rsidR="00B46F9F">
        <w:rPr>
          <w:rFonts w:ascii="Verdana" w:hAnsi="Verdana"/>
          <w:sz w:val="20"/>
          <w:szCs w:val="20"/>
        </w:rPr>
        <w:t xml:space="preserve"> </w:t>
      </w:r>
      <w:r w:rsidRPr="00A35968">
        <w:rPr>
          <w:rFonts w:ascii="Verdana" w:hAnsi="Verdana"/>
          <w:sz w:val="20"/>
          <w:szCs w:val="20"/>
        </w:rPr>
        <w:t xml:space="preserve">no matter their date of hire. </w:t>
      </w:r>
    </w:p>
    <w:p w14:paraId="28490660" w14:textId="5304EC0C" w:rsidR="008007E1" w:rsidRPr="00A35968" w:rsidRDefault="008007E1" w:rsidP="008007E1">
      <w:pPr>
        <w:pStyle w:val="ListParagraph"/>
        <w:numPr>
          <w:ilvl w:val="1"/>
          <w:numId w:val="2"/>
        </w:numPr>
        <w:rPr>
          <w:rFonts w:ascii="Verdana" w:hAnsi="Verdana"/>
          <w:sz w:val="20"/>
          <w:szCs w:val="20"/>
        </w:rPr>
      </w:pPr>
      <w:r w:rsidRPr="00A35968">
        <w:rPr>
          <w:rFonts w:ascii="Verdana" w:hAnsi="Verdana"/>
          <w:sz w:val="20"/>
          <w:szCs w:val="20"/>
        </w:rPr>
        <w:t>Example – FT EE hired in July; quota would be loaded for 75/80 hours</w:t>
      </w:r>
    </w:p>
    <w:p w14:paraId="7EE06F88" w14:textId="531F1052" w:rsidR="008F53BA" w:rsidRPr="00A35968" w:rsidRDefault="00F8713B" w:rsidP="008F53BA">
      <w:pPr>
        <w:pStyle w:val="ListParagraph"/>
        <w:numPr>
          <w:ilvl w:val="0"/>
          <w:numId w:val="2"/>
        </w:numPr>
        <w:rPr>
          <w:rFonts w:ascii="Verdana" w:hAnsi="Verdana"/>
          <w:sz w:val="20"/>
          <w:szCs w:val="20"/>
        </w:rPr>
      </w:pPr>
      <w:r w:rsidRPr="00A35968">
        <w:rPr>
          <w:rFonts w:ascii="Verdana" w:hAnsi="Verdana"/>
          <w:sz w:val="20"/>
          <w:szCs w:val="20"/>
        </w:rPr>
        <w:t>If an employee separates and there is a remaining balance, no quota payout will occur.</w:t>
      </w:r>
    </w:p>
    <w:p w14:paraId="69C1F619" w14:textId="1CC32A41" w:rsidR="001426D4" w:rsidRPr="00A35968" w:rsidRDefault="001426D4" w:rsidP="001426D4">
      <w:pPr>
        <w:pStyle w:val="ListParagraph"/>
        <w:numPr>
          <w:ilvl w:val="1"/>
          <w:numId w:val="2"/>
        </w:numPr>
        <w:rPr>
          <w:rFonts w:ascii="Verdana" w:hAnsi="Verdana"/>
          <w:sz w:val="20"/>
          <w:szCs w:val="20"/>
        </w:rPr>
      </w:pPr>
      <w:r w:rsidRPr="00A35968">
        <w:rPr>
          <w:rFonts w:ascii="Verdana" w:hAnsi="Verdana"/>
          <w:sz w:val="20"/>
          <w:szCs w:val="20"/>
        </w:rPr>
        <w:t>If</w:t>
      </w:r>
      <w:r w:rsidR="00715207" w:rsidRPr="00A35968">
        <w:rPr>
          <w:rFonts w:ascii="Verdana" w:hAnsi="Verdana"/>
          <w:sz w:val="20"/>
          <w:szCs w:val="20"/>
        </w:rPr>
        <w:t xml:space="preserve"> employee is rehired in 2020</w:t>
      </w:r>
      <w:r w:rsidR="00254E21" w:rsidRPr="00A35968">
        <w:rPr>
          <w:rFonts w:ascii="Verdana" w:hAnsi="Verdana"/>
          <w:sz w:val="20"/>
          <w:szCs w:val="20"/>
        </w:rPr>
        <w:t xml:space="preserve">, any remaining quota is available for use. </w:t>
      </w:r>
    </w:p>
    <w:p w14:paraId="14865417" w14:textId="08305EA9" w:rsidR="008007E1" w:rsidRPr="00A35968" w:rsidRDefault="00C766C1" w:rsidP="008007E1">
      <w:pPr>
        <w:pStyle w:val="ListParagraph"/>
        <w:numPr>
          <w:ilvl w:val="0"/>
          <w:numId w:val="2"/>
        </w:numPr>
        <w:rPr>
          <w:rFonts w:ascii="Verdana" w:hAnsi="Verdana"/>
          <w:sz w:val="20"/>
          <w:szCs w:val="20"/>
        </w:rPr>
      </w:pPr>
      <w:r w:rsidRPr="00A35968">
        <w:rPr>
          <w:rFonts w:ascii="Verdana" w:hAnsi="Verdana"/>
          <w:sz w:val="20"/>
          <w:szCs w:val="20"/>
        </w:rPr>
        <w:t>A</w:t>
      </w:r>
      <w:r w:rsidR="000D3B66" w:rsidRPr="00A35968">
        <w:rPr>
          <w:rFonts w:ascii="Verdana" w:hAnsi="Verdana"/>
          <w:sz w:val="20"/>
          <w:szCs w:val="20"/>
        </w:rPr>
        <w:t xml:space="preserve">n employee on an AWS work schedule </w:t>
      </w:r>
      <w:r w:rsidR="00BC43EE" w:rsidRPr="00A35968">
        <w:rPr>
          <w:rFonts w:ascii="Verdana" w:hAnsi="Verdana"/>
          <w:sz w:val="20"/>
          <w:szCs w:val="20"/>
        </w:rPr>
        <w:t xml:space="preserve">must use another </w:t>
      </w:r>
      <w:r w:rsidR="008220AE">
        <w:rPr>
          <w:rFonts w:ascii="Verdana" w:hAnsi="Verdana"/>
          <w:sz w:val="20"/>
          <w:szCs w:val="20"/>
        </w:rPr>
        <w:t xml:space="preserve">available </w:t>
      </w:r>
      <w:r w:rsidR="00BC43EE" w:rsidRPr="00A35968">
        <w:rPr>
          <w:rFonts w:ascii="Verdana" w:hAnsi="Verdana"/>
          <w:sz w:val="20"/>
          <w:szCs w:val="20"/>
        </w:rPr>
        <w:t xml:space="preserve">leave type for hours above the standard </w:t>
      </w:r>
      <w:r w:rsidR="005D53FE" w:rsidRPr="00A35968">
        <w:rPr>
          <w:rFonts w:ascii="Verdana" w:hAnsi="Verdana"/>
          <w:sz w:val="20"/>
          <w:szCs w:val="20"/>
        </w:rPr>
        <w:t>7.5/8.0-hour</w:t>
      </w:r>
      <w:r w:rsidR="009F43D5" w:rsidRPr="00A35968">
        <w:rPr>
          <w:rFonts w:ascii="Verdana" w:hAnsi="Verdana"/>
          <w:sz w:val="20"/>
          <w:szCs w:val="20"/>
        </w:rPr>
        <w:t xml:space="preserve"> schedule.</w:t>
      </w:r>
    </w:p>
    <w:p w14:paraId="687307B4" w14:textId="60493785" w:rsidR="005D53FE" w:rsidRPr="00A35968" w:rsidRDefault="00CC5F70" w:rsidP="008007E1">
      <w:pPr>
        <w:pStyle w:val="ListParagraph"/>
        <w:numPr>
          <w:ilvl w:val="0"/>
          <w:numId w:val="2"/>
        </w:numPr>
        <w:rPr>
          <w:rFonts w:ascii="Verdana" w:hAnsi="Verdana"/>
          <w:sz w:val="20"/>
          <w:szCs w:val="20"/>
        </w:rPr>
      </w:pPr>
      <w:r w:rsidRPr="00A35968">
        <w:rPr>
          <w:rFonts w:ascii="Verdana" w:hAnsi="Verdana"/>
          <w:sz w:val="20"/>
          <w:szCs w:val="20"/>
        </w:rPr>
        <w:t>Absence types ES, ESF, ESA and ECC count as hours worked for</w:t>
      </w:r>
      <w:r w:rsidR="00385A7C" w:rsidRPr="00A35968">
        <w:rPr>
          <w:rFonts w:ascii="Verdana" w:hAnsi="Verdana"/>
          <w:sz w:val="20"/>
          <w:szCs w:val="20"/>
        </w:rPr>
        <w:t>:</w:t>
      </w:r>
    </w:p>
    <w:p w14:paraId="73E3CA7F" w14:textId="6FAF9322" w:rsidR="00385A7C" w:rsidRPr="00A35968" w:rsidRDefault="00385A7C" w:rsidP="00385A7C">
      <w:pPr>
        <w:pStyle w:val="ListParagraph"/>
        <w:numPr>
          <w:ilvl w:val="1"/>
          <w:numId w:val="2"/>
        </w:numPr>
        <w:rPr>
          <w:rFonts w:ascii="Verdana" w:hAnsi="Verdana"/>
          <w:sz w:val="20"/>
          <w:szCs w:val="20"/>
        </w:rPr>
      </w:pPr>
      <w:r w:rsidRPr="00A35968">
        <w:rPr>
          <w:rFonts w:ascii="Verdana" w:hAnsi="Verdana"/>
          <w:sz w:val="20"/>
          <w:szCs w:val="20"/>
        </w:rPr>
        <w:t>Overtime</w:t>
      </w:r>
    </w:p>
    <w:p w14:paraId="1E5F9770" w14:textId="14C5DEAF" w:rsidR="00D961BF" w:rsidRPr="00A35968" w:rsidRDefault="00D961BF" w:rsidP="00385A7C">
      <w:pPr>
        <w:pStyle w:val="ListParagraph"/>
        <w:numPr>
          <w:ilvl w:val="1"/>
          <w:numId w:val="2"/>
        </w:numPr>
        <w:rPr>
          <w:rFonts w:ascii="Verdana" w:hAnsi="Verdana"/>
          <w:sz w:val="20"/>
          <w:szCs w:val="20"/>
        </w:rPr>
      </w:pPr>
      <w:r w:rsidRPr="00A35968">
        <w:rPr>
          <w:rFonts w:ascii="Verdana" w:hAnsi="Verdana"/>
          <w:sz w:val="20"/>
          <w:szCs w:val="20"/>
        </w:rPr>
        <w:t xml:space="preserve">Leave </w:t>
      </w:r>
      <w:r w:rsidR="00EE0E65" w:rsidRPr="00A35968">
        <w:rPr>
          <w:rFonts w:ascii="Verdana" w:hAnsi="Verdana"/>
          <w:sz w:val="20"/>
          <w:szCs w:val="20"/>
        </w:rPr>
        <w:t>Accrual</w:t>
      </w:r>
    </w:p>
    <w:p w14:paraId="2B9813DB" w14:textId="0AC3F19D" w:rsidR="00D961BF" w:rsidRPr="00A35968" w:rsidRDefault="00EE0E65" w:rsidP="00385A7C">
      <w:pPr>
        <w:pStyle w:val="ListParagraph"/>
        <w:numPr>
          <w:ilvl w:val="1"/>
          <w:numId w:val="2"/>
        </w:numPr>
        <w:rPr>
          <w:rFonts w:ascii="Verdana" w:hAnsi="Verdana"/>
          <w:sz w:val="20"/>
          <w:szCs w:val="20"/>
        </w:rPr>
      </w:pPr>
      <w:r w:rsidRPr="00A35968">
        <w:rPr>
          <w:rFonts w:ascii="Verdana" w:hAnsi="Verdana"/>
          <w:sz w:val="20"/>
          <w:szCs w:val="20"/>
        </w:rPr>
        <w:t>Leave Service Credit</w:t>
      </w:r>
    </w:p>
    <w:p w14:paraId="06AD690E" w14:textId="0DC66882" w:rsidR="001F170E" w:rsidRPr="00A35968" w:rsidRDefault="001F170E" w:rsidP="001F170E">
      <w:pPr>
        <w:pStyle w:val="ListParagraph"/>
        <w:numPr>
          <w:ilvl w:val="1"/>
          <w:numId w:val="2"/>
        </w:numPr>
        <w:rPr>
          <w:rFonts w:ascii="Verdana" w:hAnsi="Verdana"/>
          <w:sz w:val="20"/>
          <w:szCs w:val="20"/>
        </w:rPr>
      </w:pPr>
      <w:r w:rsidRPr="00A35968">
        <w:rPr>
          <w:rFonts w:ascii="Verdana" w:hAnsi="Verdana"/>
          <w:sz w:val="20"/>
          <w:szCs w:val="20"/>
        </w:rPr>
        <w:t>Seniority</w:t>
      </w:r>
    </w:p>
    <w:p w14:paraId="475BAB3E" w14:textId="2E481D82" w:rsidR="00B957F8" w:rsidRPr="00A35968" w:rsidRDefault="00DD3A34" w:rsidP="00385A7C">
      <w:pPr>
        <w:pStyle w:val="ListParagraph"/>
        <w:numPr>
          <w:ilvl w:val="1"/>
          <w:numId w:val="2"/>
        </w:numPr>
        <w:rPr>
          <w:rFonts w:ascii="Verdana" w:hAnsi="Verdana"/>
          <w:sz w:val="20"/>
          <w:szCs w:val="20"/>
        </w:rPr>
      </w:pPr>
      <w:r w:rsidRPr="00A35968">
        <w:rPr>
          <w:rFonts w:ascii="Verdana" w:hAnsi="Verdana"/>
          <w:sz w:val="20"/>
          <w:szCs w:val="20"/>
        </w:rPr>
        <w:t>Clothing Allowance</w:t>
      </w:r>
      <w:r w:rsidR="004D1F30" w:rsidRPr="00A35968">
        <w:rPr>
          <w:rFonts w:ascii="Verdana" w:hAnsi="Verdana"/>
          <w:sz w:val="20"/>
          <w:szCs w:val="20"/>
        </w:rPr>
        <w:t xml:space="preserve"> Entitlement</w:t>
      </w:r>
    </w:p>
    <w:p w14:paraId="0054A737" w14:textId="59EE4CBF" w:rsidR="008007E1" w:rsidRPr="00A35968" w:rsidRDefault="00120543" w:rsidP="008007E1">
      <w:pPr>
        <w:pStyle w:val="ListParagraph"/>
        <w:numPr>
          <w:ilvl w:val="0"/>
          <w:numId w:val="2"/>
        </w:numPr>
        <w:rPr>
          <w:rFonts w:ascii="Verdana" w:hAnsi="Verdana"/>
          <w:sz w:val="20"/>
          <w:szCs w:val="20"/>
        </w:rPr>
      </w:pPr>
      <w:r w:rsidRPr="00A35968">
        <w:rPr>
          <w:rFonts w:ascii="Verdana" w:hAnsi="Verdana"/>
          <w:sz w:val="20"/>
          <w:szCs w:val="20"/>
        </w:rPr>
        <w:t xml:space="preserve">Absence types ES, ESF, ESA and ECC </w:t>
      </w:r>
      <w:r w:rsidR="001B205C" w:rsidRPr="00A35968">
        <w:rPr>
          <w:rFonts w:ascii="Verdana" w:hAnsi="Verdana"/>
          <w:b/>
          <w:bCs/>
          <w:sz w:val="20"/>
          <w:szCs w:val="20"/>
          <w:u w:val="single"/>
        </w:rPr>
        <w:t>are not</w:t>
      </w:r>
      <w:r w:rsidR="001B205C" w:rsidRPr="00A35968">
        <w:rPr>
          <w:rFonts w:ascii="Verdana" w:hAnsi="Verdana"/>
          <w:sz w:val="20"/>
          <w:szCs w:val="20"/>
        </w:rPr>
        <w:t xml:space="preserve"> retirement covered </w:t>
      </w:r>
    </w:p>
    <w:p w14:paraId="260329C2" w14:textId="07959EE2" w:rsidR="00861F9C" w:rsidRPr="00A35968" w:rsidRDefault="004D32C9" w:rsidP="008007E1">
      <w:pPr>
        <w:pStyle w:val="ListParagraph"/>
        <w:numPr>
          <w:ilvl w:val="0"/>
          <w:numId w:val="2"/>
        </w:numPr>
        <w:rPr>
          <w:rFonts w:ascii="Verdana" w:hAnsi="Verdana"/>
          <w:sz w:val="20"/>
          <w:szCs w:val="20"/>
        </w:rPr>
      </w:pPr>
      <w:r w:rsidRPr="00A35968">
        <w:rPr>
          <w:rFonts w:ascii="Verdana" w:hAnsi="Verdana"/>
          <w:sz w:val="20"/>
          <w:szCs w:val="20"/>
        </w:rPr>
        <w:t>Higher Class and Management Employees</w:t>
      </w:r>
    </w:p>
    <w:p w14:paraId="64FAABF0" w14:textId="1A6DE142" w:rsidR="008007E1" w:rsidRPr="00A35968" w:rsidRDefault="006A7930" w:rsidP="008007E1">
      <w:pPr>
        <w:pStyle w:val="ListParagraph"/>
        <w:numPr>
          <w:ilvl w:val="1"/>
          <w:numId w:val="2"/>
        </w:numPr>
        <w:rPr>
          <w:sz w:val="20"/>
          <w:szCs w:val="20"/>
        </w:rPr>
      </w:pPr>
      <w:r w:rsidRPr="008D2499">
        <w:rPr>
          <w:rFonts w:ascii="Verdana" w:hAnsi="Verdana"/>
          <w:sz w:val="20"/>
          <w:szCs w:val="20"/>
        </w:rPr>
        <w:lastRenderedPageBreak/>
        <w:t>Higher class</w:t>
      </w:r>
      <w:r w:rsidR="00B757BD" w:rsidRPr="008D2499">
        <w:rPr>
          <w:rFonts w:ascii="Verdana" w:hAnsi="Verdana"/>
          <w:sz w:val="20"/>
          <w:szCs w:val="20"/>
        </w:rPr>
        <w:t xml:space="preserve"> </w:t>
      </w:r>
      <w:r w:rsidR="0084252C" w:rsidRPr="008D2499">
        <w:rPr>
          <w:rFonts w:ascii="Verdana" w:hAnsi="Verdana"/>
          <w:sz w:val="20"/>
          <w:szCs w:val="20"/>
        </w:rPr>
        <w:t>differential</w:t>
      </w:r>
      <w:r w:rsidRPr="008D2499">
        <w:rPr>
          <w:rFonts w:ascii="Verdana" w:hAnsi="Verdana"/>
          <w:sz w:val="20"/>
          <w:szCs w:val="20"/>
        </w:rPr>
        <w:t xml:space="preserve"> will pay at 100% for absence types ES, ESF, E</w:t>
      </w:r>
      <w:r w:rsidR="0084252C" w:rsidRPr="008D2499">
        <w:rPr>
          <w:rFonts w:ascii="Verdana" w:hAnsi="Verdana"/>
          <w:sz w:val="20"/>
          <w:szCs w:val="20"/>
        </w:rPr>
        <w:t>SA and ECC if higher class eligibility is met</w:t>
      </w:r>
      <w:r w:rsidR="00D56A97" w:rsidRPr="008D2499">
        <w:rPr>
          <w:rFonts w:ascii="Verdana" w:hAnsi="Verdana"/>
          <w:sz w:val="20"/>
          <w:szCs w:val="20"/>
        </w:rPr>
        <w:t xml:space="preserve">. </w:t>
      </w:r>
      <w:r w:rsidR="008D2499" w:rsidRPr="008D2499">
        <w:rPr>
          <w:rFonts w:ascii="Verdana" w:hAnsi="Verdana"/>
          <w:sz w:val="20"/>
          <w:szCs w:val="20"/>
        </w:rPr>
        <w:t xml:space="preserve">In other words, an employee could receive 2/3’s </w:t>
      </w:r>
      <w:proofErr w:type="gramStart"/>
      <w:r w:rsidR="008D2499" w:rsidRPr="008D2499">
        <w:rPr>
          <w:rFonts w:ascii="Verdana" w:hAnsi="Verdana"/>
          <w:sz w:val="20"/>
          <w:szCs w:val="20"/>
        </w:rPr>
        <w:t>pay</w:t>
      </w:r>
      <w:proofErr w:type="gramEnd"/>
      <w:r w:rsidR="008D2499" w:rsidRPr="008D2499">
        <w:rPr>
          <w:rFonts w:ascii="Verdana" w:hAnsi="Verdana"/>
          <w:sz w:val="20"/>
          <w:szCs w:val="20"/>
        </w:rPr>
        <w:t xml:space="preserve"> for the absence and 100% pay for the higher-class differential. </w:t>
      </w:r>
    </w:p>
    <w:sectPr w:rsidR="008007E1" w:rsidRPr="00A35968" w:rsidSect="00D24D78">
      <w:headerReference w:type="default" r:id="rId14"/>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8D28" w14:textId="77777777" w:rsidR="00926C17" w:rsidRDefault="00926C17" w:rsidP="00FC5AC7">
      <w:pPr>
        <w:spacing w:after="0" w:line="240" w:lineRule="auto"/>
      </w:pPr>
      <w:r>
        <w:separator/>
      </w:r>
    </w:p>
  </w:endnote>
  <w:endnote w:type="continuationSeparator" w:id="0">
    <w:p w14:paraId="6938A8F6" w14:textId="77777777" w:rsidR="00926C17" w:rsidRDefault="00926C17" w:rsidP="00FC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8EE80" w14:textId="77777777" w:rsidR="00926C17" w:rsidRDefault="00926C17" w:rsidP="00FC5AC7">
      <w:pPr>
        <w:spacing w:after="0" w:line="240" w:lineRule="auto"/>
      </w:pPr>
      <w:r>
        <w:separator/>
      </w:r>
    </w:p>
  </w:footnote>
  <w:footnote w:type="continuationSeparator" w:id="0">
    <w:p w14:paraId="3B8EFDA9" w14:textId="77777777" w:rsidR="00926C17" w:rsidRDefault="00926C17" w:rsidP="00FC5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3A8C" w14:textId="05948B2B" w:rsidR="00EB438F" w:rsidRDefault="004B4E45">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Rev. </w:t>
    </w:r>
    <w:r w:rsidR="007E6BC3">
      <w:rPr>
        <w:color w:val="8496B0" w:themeColor="text2" w:themeTint="99"/>
        <w:sz w:val="24"/>
        <w:szCs w:val="24"/>
      </w:rPr>
      <w:t>09/30</w:t>
    </w:r>
    <w:r>
      <w:rPr>
        <w:color w:val="8496B0" w:themeColor="text2" w:themeTint="99"/>
        <w:sz w:val="24"/>
        <w:szCs w:val="24"/>
      </w:rPr>
      <w:t>/</w:t>
    </w:r>
    <w:r w:rsidR="00EB438F">
      <w:rPr>
        <w:color w:val="8496B0" w:themeColor="text2" w:themeTint="99"/>
        <w:sz w:val="24"/>
        <w:szCs w:val="24"/>
      </w:rPr>
      <w:t>2020</w:t>
    </w:r>
  </w:p>
  <w:p w14:paraId="5E13CEDB" w14:textId="77777777" w:rsidR="00EB438F" w:rsidRDefault="00EB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0E23"/>
    <w:multiLevelType w:val="hybridMultilevel"/>
    <w:tmpl w:val="0948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831CA"/>
    <w:multiLevelType w:val="hybridMultilevel"/>
    <w:tmpl w:val="AB94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3547B"/>
    <w:multiLevelType w:val="hybridMultilevel"/>
    <w:tmpl w:val="79CE7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A53E4"/>
    <w:multiLevelType w:val="hybridMultilevel"/>
    <w:tmpl w:val="18E0A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43E2D"/>
    <w:multiLevelType w:val="hybridMultilevel"/>
    <w:tmpl w:val="1A744BAA"/>
    <w:lvl w:ilvl="0" w:tplc="164CC6F4">
      <w:start w:val="1"/>
      <w:numFmt w:val="bullet"/>
      <w:lvlText w:val=""/>
      <w:lvlJc w:val="left"/>
      <w:pPr>
        <w:ind w:left="720" w:hanging="360"/>
      </w:pPr>
      <w:rPr>
        <w:rFonts w:ascii="Symbol" w:hAnsi="Symbol" w:hint="default"/>
      </w:rPr>
    </w:lvl>
    <w:lvl w:ilvl="1" w:tplc="12C6949A">
      <w:start w:val="1"/>
      <w:numFmt w:val="bullet"/>
      <w:lvlText w:val=""/>
      <w:lvlJc w:val="left"/>
      <w:pPr>
        <w:ind w:left="1440" w:hanging="360"/>
      </w:pPr>
      <w:rPr>
        <w:rFonts w:ascii="Symbol" w:hAnsi="Symbol" w:hint="default"/>
      </w:rPr>
    </w:lvl>
    <w:lvl w:ilvl="2" w:tplc="50D44F88">
      <w:start w:val="1"/>
      <w:numFmt w:val="bullet"/>
      <w:lvlText w:val=""/>
      <w:lvlJc w:val="left"/>
      <w:pPr>
        <w:ind w:left="2160" w:hanging="360"/>
      </w:pPr>
      <w:rPr>
        <w:rFonts w:ascii="Wingdings" w:hAnsi="Wingdings" w:hint="default"/>
      </w:rPr>
    </w:lvl>
    <w:lvl w:ilvl="3" w:tplc="AB9C29CE">
      <w:start w:val="1"/>
      <w:numFmt w:val="bullet"/>
      <w:lvlText w:val=""/>
      <w:lvlJc w:val="left"/>
      <w:pPr>
        <w:ind w:left="2880" w:hanging="360"/>
      </w:pPr>
      <w:rPr>
        <w:rFonts w:ascii="Symbol" w:hAnsi="Symbol" w:hint="default"/>
      </w:rPr>
    </w:lvl>
    <w:lvl w:ilvl="4" w:tplc="15501868">
      <w:start w:val="1"/>
      <w:numFmt w:val="bullet"/>
      <w:lvlText w:val="o"/>
      <w:lvlJc w:val="left"/>
      <w:pPr>
        <w:ind w:left="3600" w:hanging="360"/>
      </w:pPr>
      <w:rPr>
        <w:rFonts w:ascii="Courier New" w:hAnsi="Courier New" w:hint="default"/>
      </w:rPr>
    </w:lvl>
    <w:lvl w:ilvl="5" w:tplc="B8D2D168">
      <w:start w:val="1"/>
      <w:numFmt w:val="bullet"/>
      <w:lvlText w:val=""/>
      <w:lvlJc w:val="left"/>
      <w:pPr>
        <w:ind w:left="4320" w:hanging="360"/>
      </w:pPr>
      <w:rPr>
        <w:rFonts w:ascii="Wingdings" w:hAnsi="Wingdings" w:hint="default"/>
      </w:rPr>
    </w:lvl>
    <w:lvl w:ilvl="6" w:tplc="F8A2E53E">
      <w:start w:val="1"/>
      <w:numFmt w:val="bullet"/>
      <w:lvlText w:val=""/>
      <w:lvlJc w:val="left"/>
      <w:pPr>
        <w:ind w:left="5040" w:hanging="360"/>
      </w:pPr>
      <w:rPr>
        <w:rFonts w:ascii="Symbol" w:hAnsi="Symbol" w:hint="default"/>
      </w:rPr>
    </w:lvl>
    <w:lvl w:ilvl="7" w:tplc="32E25370">
      <w:start w:val="1"/>
      <w:numFmt w:val="bullet"/>
      <w:lvlText w:val="o"/>
      <w:lvlJc w:val="left"/>
      <w:pPr>
        <w:ind w:left="5760" w:hanging="360"/>
      </w:pPr>
      <w:rPr>
        <w:rFonts w:ascii="Courier New" w:hAnsi="Courier New" w:hint="default"/>
      </w:rPr>
    </w:lvl>
    <w:lvl w:ilvl="8" w:tplc="75CC73FE">
      <w:start w:val="1"/>
      <w:numFmt w:val="bullet"/>
      <w:lvlText w:val=""/>
      <w:lvlJc w:val="left"/>
      <w:pPr>
        <w:ind w:left="6480" w:hanging="360"/>
      </w:pPr>
      <w:rPr>
        <w:rFonts w:ascii="Wingdings" w:hAnsi="Wingdings" w:hint="default"/>
      </w:rPr>
    </w:lvl>
  </w:abstractNum>
  <w:abstractNum w:abstractNumId="5" w15:restartNumberingAfterBreak="0">
    <w:nsid w:val="38803482"/>
    <w:multiLevelType w:val="hybridMultilevel"/>
    <w:tmpl w:val="DC10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AE4888"/>
    <w:multiLevelType w:val="hybridMultilevel"/>
    <w:tmpl w:val="3392DD9C"/>
    <w:lvl w:ilvl="0" w:tplc="04090003">
      <w:start w:val="1"/>
      <w:numFmt w:val="bullet"/>
      <w:lvlText w:val="o"/>
      <w:lvlJc w:val="left"/>
      <w:pPr>
        <w:ind w:left="1080" w:hanging="360"/>
      </w:pPr>
      <w:rPr>
        <w:rFonts w:ascii="Courier New" w:hAnsi="Courier New" w:cs="Courier New" w:hint="default"/>
      </w:rPr>
    </w:lvl>
    <w:lvl w:ilvl="1" w:tplc="3CDAE540">
      <w:start w:val="1"/>
      <w:numFmt w:val="bullet"/>
      <w:lvlText w:val="o"/>
      <w:lvlJc w:val="left"/>
      <w:pPr>
        <w:ind w:left="1800" w:hanging="360"/>
      </w:pPr>
      <w:rPr>
        <w:rFonts w:ascii="Courier New" w:hAnsi="Courier New" w:hint="default"/>
      </w:rPr>
    </w:lvl>
    <w:lvl w:ilvl="2" w:tplc="7BA83F70">
      <w:start w:val="1"/>
      <w:numFmt w:val="bullet"/>
      <w:lvlText w:val=""/>
      <w:lvlJc w:val="left"/>
      <w:pPr>
        <w:ind w:left="2520" w:hanging="360"/>
      </w:pPr>
      <w:rPr>
        <w:rFonts w:ascii="Wingdings" w:hAnsi="Wingdings" w:hint="default"/>
      </w:rPr>
    </w:lvl>
    <w:lvl w:ilvl="3" w:tplc="2362F058">
      <w:start w:val="1"/>
      <w:numFmt w:val="bullet"/>
      <w:lvlText w:val=""/>
      <w:lvlJc w:val="left"/>
      <w:pPr>
        <w:ind w:left="3240" w:hanging="360"/>
      </w:pPr>
      <w:rPr>
        <w:rFonts w:ascii="Symbol" w:hAnsi="Symbol" w:hint="default"/>
      </w:rPr>
    </w:lvl>
    <w:lvl w:ilvl="4" w:tplc="27CC1F9C">
      <w:start w:val="1"/>
      <w:numFmt w:val="bullet"/>
      <w:lvlText w:val="o"/>
      <w:lvlJc w:val="left"/>
      <w:pPr>
        <w:ind w:left="3960" w:hanging="360"/>
      </w:pPr>
      <w:rPr>
        <w:rFonts w:ascii="Courier New" w:hAnsi="Courier New" w:hint="default"/>
      </w:rPr>
    </w:lvl>
    <w:lvl w:ilvl="5" w:tplc="265E4516">
      <w:start w:val="1"/>
      <w:numFmt w:val="bullet"/>
      <w:lvlText w:val=""/>
      <w:lvlJc w:val="left"/>
      <w:pPr>
        <w:ind w:left="4680" w:hanging="360"/>
      </w:pPr>
      <w:rPr>
        <w:rFonts w:ascii="Wingdings" w:hAnsi="Wingdings" w:hint="default"/>
      </w:rPr>
    </w:lvl>
    <w:lvl w:ilvl="6" w:tplc="E8B6284A">
      <w:start w:val="1"/>
      <w:numFmt w:val="bullet"/>
      <w:lvlText w:val=""/>
      <w:lvlJc w:val="left"/>
      <w:pPr>
        <w:ind w:left="5400" w:hanging="360"/>
      </w:pPr>
      <w:rPr>
        <w:rFonts w:ascii="Symbol" w:hAnsi="Symbol" w:hint="default"/>
      </w:rPr>
    </w:lvl>
    <w:lvl w:ilvl="7" w:tplc="25D82D78">
      <w:start w:val="1"/>
      <w:numFmt w:val="bullet"/>
      <w:lvlText w:val="o"/>
      <w:lvlJc w:val="left"/>
      <w:pPr>
        <w:ind w:left="6120" w:hanging="360"/>
      </w:pPr>
      <w:rPr>
        <w:rFonts w:ascii="Courier New" w:hAnsi="Courier New" w:hint="default"/>
      </w:rPr>
    </w:lvl>
    <w:lvl w:ilvl="8" w:tplc="E3F82964">
      <w:start w:val="1"/>
      <w:numFmt w:val="bullet"/>
      <w:lvlText w:val=""/>
      <w:lvlJc w:val="left"/>
      <w:pPr>
        <w:ind w:left="6840" w:hanging="360"/>
      </w:pPr>
      <w:rPr>
        <w:rFonts w:ascii="Wingdings" w:hAnsi="Wingdings" w:hint="default"/>
      </w:rPr>
    </w:lvl>
  </w:abstractNum>
  <w:abstractNum w:abstractNumId="7" w15:restartNumberingAfterBreak="0">
    <w:nsid w:val="449557A3"/>
    <w:multiLevelType w:val="hybridMultilevel"/>
    <w:tmpl w:val="96D858C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4F2807B1"/>
    <w:multiLevelType w:val="hybridMultilevel"/>
    <w:tmpl w:val="7E28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F625E"/>
    <w:multiLevelType w:val="hybridMultilevel"/>
    <w:tmpl w:val="CB2C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B4942"/>
    <w:multiLevelType w:val="hybridMultilevel"/>
    <w:tmpl w:val="6894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8"/>
  </w:num>
  <w:num w:numId="5">
    <w:abstractNumId w:val="9"/>
  </w:num>
  <w:num w:numId="6">
    <w:abstractNumId w:val="5"/>
  </w:num>
  <w:num w:numId="7">
    <w:abstractNumId w:val="4"/>
  </w:num>
  <w:num w:numId="8">
    <w:abstractNumId w:val="6"/>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E1"/>
    <w:rsid w:val="00000C03"/>
    <w:rsid w:val="00003F6A"/>
    <w:rsid w:val="0000510D"/>
    <w:rsid w:val="0002534A"/>
    <w:rsid w:val="00044176"/>
    <w:rsid w:val="000548C2"/>
    <w:rsid w:val="00072440"/>
    <w:rsid w:val="000801EB"/>
    <w:rsid w:val="000823C4"/>
    <w:rsid w:val="000872A6"/>
    <w:rsid w:val="00095464"/>
    <w:rsid w:val="000A420F"/>
    <w:rsid w:val="000A4A94"/>
    <w:rsid w:val="000C4466"/>
    <w:rsid w:val="000C45CC"/>
    <w:rsid w:val="000D3B66"/>
    <w:rsid w:val="000E1FAE"/>
    <w:rsid w:val="000E423F"/>
    <w:rsid w:val="000E469E"/>
    <w:rsid w:val="00100172"/>
    <w:rsid w:val="00110615"/>
    <w:rsid w:val="00120543"/>
    <w:rsid w:val="00124CF9"/>
    <w:rsid w:val="00131572"/>
    <w:rsid w:val="001426D4"/>
    <w:rsid w:val="001501ED"/>
    <w:rsid w:val="00150A2F"/>
    <w:rsid w:val="00173620"/>
    <w:rsid w:val="00185F35"/>
    <w:rsid w:val="001B205C"/>
    <w:rsid w:val="001C696F"/>
    <w:rsid w:val="001E6969"/>
    <w:rsid w:val="001F170E"/>
    <w:rsid w:val="001F342F"/>
    <w:rsid w:val="001F75AA"/>
    <w:rsid w:val="00200A19"/>
    <w:rsid w:val="002022A0"/>
    <w:rsid w:val="0021213F"/>
    <w:rsid w:val="002156C0"/>
    <w:rsid w:val="00227812"/>
    <w:rsid w:val="00231223"/>
    <w:rsid w:val="0023324F"/>
    <w:rsid w:val="00242B6E"/>
    <w:rsid w:val="00254E21"/>
    <w:rsid w:val="00257CEB"/>
    <w:rsid w:val="0026705E"/>
    <w:rsid w:val="00267A8E"/>
    <w:rsid w:val="00285B38"/>
    <w:rsid w:val="00290CD9"/>
    <w:rsid w:val="00293216"/>
    <w:rsid w:val="00295B73"/>
    <w:rsid w:val="002C0BC5"/>
    <w:rsid w:val="002D1FEF"/>
    <w:rsid w:val="002D5053"/>
    <w:rsid w:val="002E15FA"/>
    <w:rsid w:val="002E4688"/>
    <w:rsid w:val="002F204F"/>
    <w:rsid w:val="003251A6"/>
    <w:rsid w:val="00337B80"/>
    <w:rsid w:val="00341894"/>
    <w:rsid w:val="00371ABE"/>
    <w:rsid w:val="00384DA8"/>
    <w:rsid w:val="00385A7C"/>
    <w:rsid w:val="003902B3"/>
    <w:rsid w:val="00391336"/>
    <w:rsid w:val="00391EA2"/>
    <w:rsid w:val="003B0287"/>
    <w:rsid w:val="003D42A2"/>
    <w:rsid w:val="003D7124"/>
    <w:rsid w:val="004071FE"/>
    <w:rsid w:val="00426786"/>
    <w:rsid w:val="004413F2"/>
    <w:rsid w:val="0044344D"/>
    <w:rsid w:val="0044536B"/>
    <w:rsid w:val="00451821"/>
    <w:rsid w:val="004538A2"/>
    <w:rsid w:val="004750A5"/>
    <w:rsid w:val="0048321C"/>
    <w:rsid w:val="00487B59"/>
    <w:rsid w:val="00491095"/>
    <w:rsid w:val="00496B6B"/>
    <w:rsid w:val="004A32A2"/>
    <w:rsid w:val="004B4E45"/>
    <w:rsid w:val="004D1F30"/>
    <w:rsid w:val="004D32C9"/>
    <w:rsid w:val="004F426C"/>
    <w:rsid w:val="0052482F"/>
    <w:rsid w:val="00547705"/>
    <w:rsid w:val="005515CC"/>
    <w:rsid w:val="005573FD"/>
    <w:rsid w:val="00562282"/>
    <w:rsid w:val="00580376"/>
    <w:rsid w:val="005853A8"/>
    <w:rsid w:val="00596604"/>
    <w:rsid w:val="00597288"/>
    <w:rsid w:val="005A22D6"/>
    <w:rsid w:val="005B132A"/>
    <w:rsid w:val="005B5E50"/>
    <w:rsid w:val="005C15BE"/>
    <w:rsid w:val="005D53FE"/>
    <w:rsid w:val="005D765F"/>
    <w:rsid w:val="005F0A9C"/>
    <w:rsid w:val="005F40BC"/>
    <w:rsid w:val="00601E74"/>
    <w:rsid w:val="006038B7"/>
    <w:rsid w:val="00621648"/>
    <w:rsid w:val="00652D5C"/>
    <w:rsid w:val="00664C24"/>
    <w:rsid w:val="00670F34"/>
    <w:rsid w:val="0067425E"/>
    <w:rsid w:val="006A6206"/>
    <w:rsid w:val="006A7930"/>
    <w:rsid w:val="006C1B73"/>
    <w:rsid w:val="006E3800"/>
    <w:rsid w:val="006F2D98"/>
    <w:rsid w:val="00715207"/>
    <w:rsid w:val="00724B59"/>
    <w:rsid w:val="00740037"/>
    <w:rsid w:val="00750396"/>
    <w:rsid w:val="007510C0"/>
    <w:rsid w:val="00783E9B"/>
    <w:rsid w:val="007A42E2"/>
    <w:rsid w:val="007B3D74"/>
    <w:rsid w:val="007C3455"/>
    <w:rsid w:val="007C4D66"/>
    <w:rsid w:val="007C7ADF"/>
    <w:rsid w:val="007D28F1"/>
    <w:rsid w:val="007E4067"/>
    <w:rsid w:val="007E6BC3"/>
    <w:rsid w:val="008007E1"/>
    <w:rsid w:val="0080494A"/>
    <w:rsid w:val="008174CE"/>
    <w:rsid w:val="008220AE"/>
    <w:rsid w:val="008220E9"/>
    <w:rsid w:val="00826A8C"/>
    <w:rsid w:val="0084252C"/>
    <w:rsid w:val="00850D99"/>
    <w:rsid w:val="008539A8"/>
    <w:rsid w:val="00861F9C"/>
    <w:rsid w:val="008657D9"/>
    <w:rsid w:val="008818DC"/>
    <w:rsid w:val="008A0A14"/>
    <w:rsid w:val="008A1FC1"/>
    <w:rsid w:val="008C523B"/>
    <w:rsid w:val="008D2499"/>
    <w:rsid w:val="008D6165"/>
    <w:rsid w:val="008D6B76"/>
    <w:rsid w:val="008F53BA"/>
    <w:rsid w:val="00926C17"/>
    <w:rsid w:val="00936609"/>
    <w:rsid w:val="00943377"/>
    <w:rsid w:val="00944B9E"/>
    <w:rsid w:val="00957A4E"/>
    <w:rsid w:val="00961CAF"/>
    <w:rsid w:val="00961EEC"/>
    <w:rsid w:val="0097040D"/>
    <w:rsid w:val="00977C7F"/>
    <w:rsid w:val="009A2DD3"/>
    <w:rsid w:val="009B4EED"/>
    <w:rsid w:val="009B4F18"/>
    <w:rsid w:val="009E2375"/>
    <w:rsid w:val="009E7ADE"/>
    <w:rsid w:val="009F32E1"/>
    <w:rsid w:val="009F3C2D"/>
    <w:rsid w:val="009F3C69"/>
    <w:rsid w:val="009F43D5"/>
    <w:rsid w:val="00A00E2D"/>
    <w:rsid w:val="00A17955"/>
    <w:rsid w:val="00A302F8"/>
    <w:rsid w:val="00A31455"/>
    <w:rsid w:val="00A323B3"/>
    <w:rsid w:val="00A32890"/>
    <w:rsid w:val="00A35968"/>
    <w:rsid w:val="00A41201"/>
    <w:rsid w:val="00A44F73"/>
    <w:rsid w:val="00A56FAD"/>
    <w:rsid w:val="00A60376"/>
    <w:rsid w:val="00A662FF"/>
    <w:rsid w:val="00A85457"/>
    <w:rsid w:val="00A867BE"/>
    <w:rsid w:val="00A92409"/>
    <w:rsid w:val="00A94C1F"/>
    <w:rsid w:val="00A94CE0"/>
    <w:rsid w:val="00A968E1"/>
    <w:rsid w:val="00AA4453"/>
    <w:rsid w:val="00AC2306"/>
    <w:rsid w:val="00AC4F82"/>
    <w:rsid w:val="00AD45A0"/>
    <w:rsid w:val="00AE6715"/>
    <w:rsid w:val="00AF779F"/>
    <w:rsid w:val="00B0117E"/>
    <w:rsid w:val="00B10184"/>
    <w:rsid w:val="00B212C6"/>
    <w:rsid w:val="00B260E6"/>
    <w:rsid w:val="00B32C19"/>
    <w:rsid w:val="00B41966"/>
    <w:rsid w:val="00B43B69"/>
    <w:rsid w:val="00B44050"/>
    <w:rsid w:val="00B45A68"/>
    <w:rsid w:val="00B46F9F"/>
    <w:rsid w:val="00B50561"/>
    <w:rsid w:val="00B60DD8"/>
    <w:rsid w:val="00B6602B"/>
    <w:rsid w:val="00B757BD"/>
    <w:rsid w:val="00B85915"/>
    <w:rsid w:val="00B86F31"/>
    <w:rsid w:val="00B92AE3"/>
    <w:rsid w:val="00B950B9"/>
    <w:rsid w:val="00B951BF"/>
    <w:rsid w:val="00B957F8"/>
    <w:rsid w:val="00B974B0"/>
    <w:rsid w:val="00B97634"/>
    <w:rsid w:val="00BA0FEE"/>
    <w:rsid w:val="00BA550D"/>
    <w:rsid w:val="00BB2182"/>
    <w:rsid w:val="00BC43EE"/>
    <w:rsid w:val="00BD068C"/>
    <w:rsid w:val="00BD7888"/>
    <w:rsid w:val="00BE7FE7"/>
    <w:rsid w:val="00C0724E"/>
    <w:rsid w:val="00C11C23"/>
    <w:rsid w:val="00C13037"/>
    <w:rsid w:val="00C324EE"/>
    <w:rsid w:val="00C3612B"/>
    <w:rsid w:val="00C50C2E"/>
    <w:rsid w:val="00C55D3A"/>
    <w:rsid w:val="00C57A14"/>
    <w:rsid w:val="00C66D67"/>
    <w:rsid w:val="00C766C1"/>
    <w:rsid w:val="00C85B94"/>
    <w:rsid w:val="00C92930"/>
    <w:rsid w:val="00CA5E03"/>
    <w:rsid w:val="00CB3E97"/>
    <w:rsid w:val="00CB5C67"/>
    <w:rsid w:val="00CC5F70"/>
    <w:rsid w:val="00CD2B7A"/>
    <w:rsid w:val="00CD402D"/>
    <w:rsid w:val="00CD5EB5"/>
    <w:rsid w:val="00CE0A6F"/>
    <w:rsid w:val="00D20CA8"/>
    <w:rsid w:val="00D23247"/>
    <w:rsid w:val="00D24D78"/>
    <w:rsid w:val="00D32A61"/>
    <w:rsid w:val="00D56A97"/>
    <w:rsid w:val="00D61F79"/>
    <w:rsid w:val="00D767A1"/>
    <w:rsid w:val="00D961BF"/>
    <w:rsid w:val="00DA1FB9"/>
    <w:rsid w:val="00DA5DA0"/>
    <w:rsid w:val="00DC628E"/>
    <w:rsid w:val="00DD12CC"/>
    <w:rsid w:val="00DD3A34"/>
    <w:rsid w:val="00DD6A98"/>
    <w:rsid w:val="00DE4FD9"/>
    <w:rsid w:val="00DF1A68"/>
    <w:rsid w:val="00DF2433"/>
    <w:rsid w:val="00DF7BF3"/>
    <w:rsid w:val="00E068D1"/>
    <w:rsid w:val="00E104C5"/>
    <w:rsid w:val="00E21B3A"/>
    <w:rsid w:val="00E22795"/>
    <w:rsid w:val="00E22CC0"/>
    <w:rsid w:val="00E31B99"/>
    <w:rsid w:val="00E34F9D"/>
    <w:rsid w:val="00E435F4"/>
    <w:rsid w:val="00E44D8E"/>
    <w:rsid w:val="00E47476"/>
    <w:rsid w:val="00E5505A"/>
    <w:rsid w:val="00E6055F"/>
    <w:rsid w:val="00E756DB"/>
    <w:rsid w:val="00E826D3"/>
    <w:rsid w:val="00E90129"/>
    <w:rsid w:val="00E93758"/>
    <w:rsid w:val="00E97855"/>
    <w:rsid w:val="00E97AAC"/>
    <w:rsid w:val="00EB438F"/>
    <w:rsid w:val="00EC5ED2"/>
    <w:rsid w:val="00ED677B"/>
    <w:rsid w:val="00EE0E65"/>
    <w:rsid w:val="00EE32AC"/>
    <w:rsid w:val="00EF121C"/>
    <w:rsid w:val="00F106FF"/>
    <w:rsid w:val="00F15AB0"/>
    <w:rsid w:val="00F30552"/>
    <w:rsid w:val="00F33D29"/>
    <w:rsid w:val="00F378CE"/>
    <w:rsid w:val="00F7481F"/>
    <w:rsid w:val="00F84DEF"/>
    <w:rsid w:val="00F8713B"/>
    <w:rsid w:val="00FB0F08"/>
    <w:rsid w:val="00FC0DA3"/>
    <w:rsid w:val="00FC0F56"/>
    <w:rsid w:val="00FC5AC7"/>
    <w:rsid w:val="00FD0CBE"/>
    <w:rsid w:val="00FD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289E0"/>
  <w15:chartTrackingRefBased/>
  <w15:docId w15:val="{9B65387B-E9FD-4FA8-B227-D26F8E9D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7E1"/>
    <w:pPr>
      <w:ind w:left="720"/>
      <w:contextualSpacing/>
    </w:pPr>
  </w:style>
  <w:style w:type="paragraph" w:styleId="NoSpacing">
    <w:name w:val="No Spacing"/>
    <w:uiPriority w:val="1"/>
    <w:qFormat/>
    <w:rsid w:val="000872A6"/>
    <w:pPr>
      <w:spacing w:after="0" w:line="240" w:lineRule="auto"/>
    </w:pPr>
  </w:style>
  <w:style w:type="paragraph" w:styleId="Header">
    <w:name w:val="header"/>
    <w:basedOn w:val="Normal"/>
    <w:link w:val="HeaderChar"/>
    <w:uiPriority w:val="99"/>
    <w:unhideWhenUsed/>
    <w:rsid w:val="00FC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AC7"/>
  </w:style>
  <w:style w:type="paragraph" w:styleId="Footer">
    <w:name w:val="footer"/>
    <w:basedOn w:val="Normal"/>
    <w:link w:val="FooterChar"/>
    <w:uiPriority w:val="99"/>
    <w:unhideWhenUsed/>
    <w:rsid w:val="00FC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AC7"/>
  </w:style>
  <w:style w:type="paragraph" w:styleId="BalloonText">
    <w:name w:val="Balloon Text"/>
    <w:basedOn w:val="Normal"/>
    <w:link w:val="BalloonTextChar"/>
    <w:uiPriority w:val="99"/>
    <w:semiHidden/>
    <w:unhideWhenUsed/>
    <w:rsid w:val="00E10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C5"/>
    <w:rPr>
      <w:rFonts w:ascii="Segoe UI" w:hAnsi="Segoe UI" w:cs="Segoe UI"/>
      <w:sz w:val="18"/>
      <w:szCs w:val="18"/>
    </w:rPr>
  </w:style>
  <w:style w:type="character" w:styleId="Emphasis">
    <w:name w:val="Emphasis"/>
    <w:basedOn w:val="DefaultParagraphFont"/>
    <w:uiPriority w:val="20"/>
    <w:qFormat/>
    <w:rsid w:val="000801EB"/>
    <w:rPr>
      <w:i/>
      <w:iCs/>
    </w:rPr>
  </w:style>
  <w:style w:type="character" w:styleId="Strong">
    <w:name w:val="Strong"/>
    <w:basedOn w:val="DefaultParagraphFont"/>
    <w:uiPriority w:val="22"/>
    <w:qFormat/>
    <w:rsid w:val="00080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ED8DB-83AC-4A63-8A63-6CD9B71AD551}">
  <ds:schemaRefs>
    <ds:schemaRef ds:uri="http://schemas.microsoft.com/sharepoint/v3/contenttype/forms"/>
  </ds:schemaRefs>
</ds:datastoreItem>
</file>

<file path=customXml/itemProps2.xml><?xml version="1.0" encoding="utf-8"?>
<ds:datastoreItem xmlns:ds="http://schemas.openxmlformats.org/officeDocument/2006/customXml" ds:itemID="{B77F3A4A-FC49-42F1-8AE4-D7FFD7FA6AF6}"/>
</file>

<file path=customXml/itemProps3.xml><?xml version="1.0" encoding="utf-8"?>
<ds:datastoreItem xmlns:ds="http://schemas.openxmlformats.org/officeDocument/2006/customXml" ds:itemID="{707D7D6F-95FC-437F-86A6-51A635A33D1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Cohrac, Laurie</dc:creator>
  <cp:keywords/>
  <dc:description/>
  <cp:lastModifiedBy>Cohrac, Laurie</cp:lastModifiedBy>
  <cp:revision>4</cp:revision>
  <dcterms:created xsi:type="dcterms:W3CDTF">2020-09-29T19:08:00Z</dcterms:created>
  <dcterms:modified xsi:type="dcterms:W3CDTF">2020-09-30T17:54:00Z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66900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