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1999A425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2F95E34E" w:rsidR="00377242" w:rsidRPr="009C625C" w:rsidRDefault="00D30DE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0CD3">
            <w:rPr>
              <w:rFonts w:ascii="Verdana" w:hAnsi="Verdana" w:cs="Verdana"/>
              <w:b/>
              <w:sz w:val="20"/>
              <w:szCs w:val="20"/>
            </w:rPr>
            <w:t>Requisition and Hire Form</w:t>
          </w:r>
          <w:r w:rsidR="003769F9">
            <w:rPr>
              <w:rFonts w:ascii="Verdana" w:hAnsi="Verdana" w:cs="Verdana"/>
              <w:b/>
              <w:sz w:val="20"/>
              <w:szCs w:val="20"/>
            </w:rPr>
            <w:t xml:space="preserve"> -</w:t>
          </w:r>
          <w:r w:rsidR="006C0CD3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CE7A57">
            <w:rPr>
              <w:rFonts w:ascii="Verdana" w:hAnsi="Verdana" w:cs="Verdana"/>
              <w:b/>
              <w:sz w:val="20"/>
              <w:szCs w:val="20"/>
            </w:rPr>
            <w:t>Custom Field</w:t>
          </w:r>
          <w:r w:rsidR="003769F9">
            <w:rPr>
              <w:rFonts w:ascii="Verdana" w:hAnsi="Verdana" w:cs="Verdana"/>
              <w:b/>
              <w:sz w:val="20"/>
              <w:szCs w:val="20"/>
            </w:rPr>
            <w:t xml:space="preserve"> and Approval Group</w:t>
          </w:r>
          <w:r w:rsidR="00CE7A57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6C0CD3">
            <w:rPr>
              <w:rFonts w:ascii="Verdana" w:hAnsi="Verdana" w:cs="Verdana"/>
              <w:b/>
              <w:sz w:val="20"/>
              <w:szCs w:val="20"/>
            </w:rPr>
            <w:t>Changes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19211E80" w:rsidR="00377242" w:rsidRPr="009C625C" w:rsidRDefault="00D30DE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F31B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6C0CD3">
            <w:rPr>
              <w:rFonts w:ascii="Verdana" w:hAnsi="Verdana" w:cs="Verdana"/>
              <w:sz w:val="20"/>
              <w:szCs w:val="20"/>
            </w:rPr>
            <w:t xml:space="preserve">changes </w:t>
          </w:r>
          <w:r w:rsidR="00CE7A57">
            <w:rPr>
              <w:rFonts w:ascii="Verdana" w:hAnsi="Verdana" w:cs="Verdana"/>
              <w:sz w:val="20"/>
              <w:szCs w:val="20"/>
            </w:rPr>
            <w:t>to custom fields</w:t>
          </w:r>
          <w:r w:rsidR="00AC5DA2">
            <w:rPr>
              <w:rFonts w:ascii="Verdana" w:hAnsi="Verdana" w:cs="Verdana"/>
              <w:sz w:val="20"/>
              <w:szCs w:val="20"/>
            </w:rPr>
            <w:t xml:space="preserve"> and approval group names</w:t>
          </w:r>
          <w:r w:rsidR="00CE7A57">
            <w:rPr>
              <w:rFonts w:ascii="Verdana" w:hAnsi="Verdana" w:cs="Verdana"/>
              <w:sz w:val="20"/>
              <w:szCs w:val="20"/>
            </w:rPr>
            <w:t xml:space="preserve"> on </w:t>
          </w:r>
          <w:r w:rsidR="006C0CD3">
            <w:rPr>
              <w:rFonts w:ascii="Verdana" w:hAnsi="Verdana" w:cs="Verdana"/>
              <w:sz w:val="20"/>
              <w:szCs w:val="20"/>
            </w:rPr>
            <w:t>requisition and hire form</w:t>
          </w:r>
          <w:r w:rsidR="004968DE">
            <w:rPr>
              <w:rFonts w:ascii="Verdana" w:hAnsi="Verdana" w:cs="Verdana"/>
              <w:sz w:val="20"/>
              <w:szCs w:val="20"/>
            </w:rPr>
            <w:t>s</w:t>
          </w:r>
          <w:r w:rsidR="006C0CD3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40B0F58" w14:textId="6351188E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7E6DCAFF" w14:textId="23F8AD19" w:rsidR="00B56617" w:rsidRDefault="0055556B" w:rsidP="00313437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</w:t>
      </w:r>
      <w:r w:rsidR="00F259A1">
        <w:rPr>
          <w:rFonts w:ascii="Verdana" w:hAnsi="Verdana" w:cs="Verdana"/>
          <w:sz w:val="20"/>
          <w:szCs w:val="20"/>
        </w:rPr>
        <w:t xml:space="preserve"> Monday,</w:t>
      </w:r>
      <w:r w:rsidR="003D0861">
        <w:rPr>
          <w:rFonts w:ascii="Verdana" w:hAnsi="Verdana" w:cs="Verdana"/>
          <w:sz w:val="20"/>
          <w:szCs w:val="20"/>
        </w:rPr>
        <w:t xml:space="preserve"> </w:t>
      </w:r>
      <w:r w:rsidR="00F259A1">
        <w:rPr>
          <w:rFonts w:ascii="Verdana" w:hAnsi="Verdana" w:cs="Verdana"/>
          <w:sz w:val="20"/>
          <w:szCs w:val="20"/>
        </w:rPr>
        <w:t>June 1, 2020</w:t>
      </w:r>
      <w:r w:rsidR="003D0861">
        <w:rPr>
          <w:rFonts w:ascii="Verdana" w:hAnsi="Verdana" w:cs="Verdana"/>
          <w:sz w:val="20"/>
          <w:szCs w:val="20"/>
        </w:rPr>
        <w:t>,</w:t>
      </w:r>
      <w:r w:rsidR="00561A01">
        <w:rPr>
          <w:rFonts w:ascii="Verdana" w:hAnsi="Verdana" w:cs="Verdana"/>
          <w:sz w:val="20"/>
          <w:szCs w:val="20"/>
        </w:rPr>
        <w:t xml:space="preserve"> </w:t>
      </w:r>
      <w:r w:rsidR="00CE7A57">
        <w:rPr>
          <w:rFonts w:ascii="Verdana" w:hAnsi="Verdana" w:cs="Verdana"/>
          <w:sz w:val="20"/>
          <w:szCs w:val="20"/>
        </w:rPr>
        <w:t xml:space="preserve">users will see several changes to the custom fields </w:t>
      </w:r>
      <w:r w:rsidR="007025D1">
        <w:rPr>
          <w:rFonts w:ascii="Verdana" w:hAnsi="Verdana" w:cs="Verdana"/>
          <w:sz w:val="20"/>
          <w:szCs w:val="20"/>
        </w:rPr>
        <w:t xml:space="preserve">and approval groups </w:t>
      </w:r>
      <w:r w:rsidR="00CE7A57">
        <w:rPr>
          <w:rFonts w:ascii="Verdana" w:hAnsi="Verdana" w:cs="Verdana"/>
          <w:sz w:val="20"/>
          <w:szCs w:val="20"/>
        </w:rPr>
        <w:t>on requisition and hire form</w:t>
      </w:r>
      <w:r w:rsidR="004968DE">
        <w:rPr>
          <w:rFonts w:ascii="Verdana" w:hAnsi="Verdana" w:cs="Verdana"/>
          <w:sz w:val="20"/>
          <w:szCs w:val="20"/>
        </w:rPr>
        <w:t>s</w:t>
      </w:r>
      <w:r w:rsidR="00CE7A57">
        <w:rPr>
          <w:rFonts w:ascii="Verdana" w:hAnsi="Verdana" w:cs="Verdana"/>
          <w:sz w:val="20"/>
          <w:szCs w:val="20"/>
        </w:rPr>
        <w:t xml:space="preserve">. </w:t>
      </w:r>
    </w:p>
    <w:p w14:paraId="16E8DB7A" w14:textId="77777777" w:rsidR="00D801DC" w:rsidRDefault="00D801DC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62A48270" w14:textId="77A446E3" w:rsidR="0055556B" w:rsidRDefault="004866A3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  <w:r w:rsidRPr="004866A3">
        <w:rPr>
          <w:rFonts w:ascii="Verdana" w:hAnsi="Verdana" w:cs="Verdana"/>
          <w:b/>
          <w:bCs/>
          <w:sz w:val="20"/>
          <w:szCs w:val="20"/>
          <w:u w:val="single"/>
        </w:rPr>
        <w:t>New</w:t>
      </w:r>
      <w:r w:rsidR="00CE7A57">
        <w:rPr>
          <w:rFonts w:ascii="Verdana" w:hAnsi="Verdana" w:cs="Verdana"/>
          <w:b/>
          <w:bCs/>
          <w:sz w:val="20"/>
          <w:szCs w:val="20"/>
          <w:u w:val="single"/>
        </w:rPr>
        <w:t xml:space="preserve"> Custom </w:t>
      </w:r>
      <w:r w:rsidRPr="004866A3">
        <w:rPr>
          <w:rFonts w:ascii="Verdana" w:hAnsi="Verdana" w:cs="Verdana"/>
          <w:b/>
          <w:bCs/>
          <w:sz w:val="20"/>
          <w:szCs w:val="20"/>
          <w:u w:val="single"/>
        </w:rPr>
        <w:t>Fields</w:t>
      </w:r>
    </w:p>
    <w:p w14:paraId="23E3E440" w14:textId="65AD44A8" w:rsidR="00E21D7D" w:rsidRDefault="00E47F8A" w:rsidP="00D801D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requisition form will include four new </w:t>
      </w:r>
      <w:r w:rsidR="00CE7A57">
        <w:rPr>
          <w:rFonts w:ascii="Verdana" w:hAnsi="Verdana" w:cs="Verdana"/>
          <w:sz w:val="20"/>
          <w:szCs w:val="20"/>
        </w:rPr>
        <w:t xml:space="preserve">custom </w:t>
      </w:r>
      <w:r w:rsidR="00C95A6C">
        <w:rPr>
          <w:rFonts w:ascii="Verdana" w:hAnsi="Verdana" w:cs="Verdana"/>
          <w:sz w:val="20"/>
          <w:szCs w:val="20"/>
        </w:rPr>
        <w:t>fields. These fields are linked to the position control interface and will automatically populate when a position is selected. The data associated with these fields will also be viewable within the position details.</w:t>
      </w:r>
      <w:r w:rsidR="00806EE6">
        <w:rPr>
          <w:rFonts w:ascii="Verdana" w:hAnsi="Verdana" w:cs="Verdana"/>
          <w:sz w:val="20"/>
          <w:szCs w:val="20"/>
        </w:rPr>
        <w:t xml:space="preserve"> Information regarding each new field is outlined below.</w:t>
      </w:r>
    </w:p>
    <w:p w14:paraId="743AEFC4" w14:textId="140D3016" w:rsidR="00C95A6C" w:rsidRDefault="00C95A6C" w:rsidP="00D801DC">
      <w:pPr>
        <w:rPr>
          <w:rFonts w:ascii="Verdana" w:hAnsi="Verdana" w:cs="Verdana"/>
          <w:sz w:val="20"/>
          <w:szCs w:val="20"/>
        </w:rPr>
      </w:pPr>
    </w:p>
    <w:p w14:paraId="58FA7576" w14:textId="500707A4" w:rsidR="00C95A6C" w:rsidRDefault="00C95A6C" w:rsidP="00D801D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note these fields will be active on</w:t>
      </w:r>
      <w:r w:rsidR="00806EE6">
        <w:rPr>
          <w:rFonts w:ascii="Verdana" w:hAnsi="Verdana" w:cs="Verdana"/>
          <w:sz w:val="20"/>
          <w:szCs w:val="20"/>
        </w:rPr>
        <w:t xml:space="preserve"> Monday,</w:t>
      </w:r>
      <w:r>
        <w:rPr>
          <w:rFonts w:ascii="Verdana" w:hAnsi="Verdana" w:cs="Verdana"/>
          <w:sz w:val="20"/>
          <w:szCs w:val="20"/>
        </w:rPr>
        <w:t xml:space="preserve"> 06/01/2020, however, they will not begin to auto-populate within the </w:t>
      </w:r>
      <w:r w:rsidR="0081300B">
        <w:rPr>
          <w:rFonts w:ascii="Verdana" w:hAnsi="Verdana" w:cs="Verdana"/>
          <w:sz w:val="20"/>
          <w:szCs w:val="20"/>
        </w:rPr>
        <w:t xml:space="preserve">NEOGOV </w:t>
      </w:r>
      <w:r>
        <w:rPr>
          <w:rFonts w:ascii="Verdana" w:hAnsi="Verdana" w:cs="Verdana"/>
          <w:sz w:val="20"/>
          <w:szCs w:val="20"/>
        </w:rPr>
        <w:t>system until Tuesday, 06/02/2020, due to the interface run schedule.</w:t>
      </w:r>
    </w:p>
    <w:p w14:paraId="7FFB7C81" w14:textId="77777777" w:rsidR="000C1807" w:rsidRDefault="000C1807" w:rsidP="00D801DC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1260"/>
        <w:gridCol w:w="1260"/>
        <w:gridCol w:w="5040"/>
      </w:tblGrid>
      <w:tr w:rsidR="00D52A6A" w14:paraId="77B757A6" w14:textId="77777777" w:rsidTr="0036325B">
        <w:trPr>
          <w:trHeight w:val="467"/>
          <w:jc w:val="center"/>
        </w:trPr>
        <w:tc>
          <w:tcPr>
            <w:tcW w:w="1255" w:type="dxa"/>
          </w:tcPr>
          <w:p w14:paraId="1C95FBB4" w14:textId="1301686F" w:rsidR="00D52A6A" w:rsidRPr="00CE7A57" w:rsidRDefault="00D52A6A" w:rsidP="00E21D7D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Name</w:t>
            </w:r>
          </w:p>
        </w:tc>
        <w:tc>
          <w:tcPr>
            <w:tcW w:w="1170" w:type="dxa"/>
          </w:tcPr>
          <w:p w14:paraId="071D98EC" w14:textId="0F758BCF" w:rsidR="00D52A6A" w:rsidRPr="00CE7A57" w:rsidRDefault="00D52A6A" w:rsidP="00E21D7D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Type</w:t>
            </w:r>
          </w:p>
        </w:tc>
        <w:tc>
          <w:tcPr>
            <w:tcW w:w="1260" w:type="dxa"/>
          </w:tcPr>
          <w:p w14:paraId="20CC8151" w14:textId="7905CCD1" w:rsidR="00D52A6A" w:rsidRPr="00CE7A57" w:rsidRDefault="00D52A6A" w:rsidP="00E21D7D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Location</w:t>
            </w:r>
          </w:p>
        </w:tc>
        <w:tc>
          <w:tcPr>
            <w:tcW w:w="1260" w:type="dxa"/>
          </w:tcPr>
          <w:p w14:paraId="0CDBB740" w14:textId="7EA59CEA" w:rsidR="00D52A6A" w:rsidRPr="00CE7A57" w:rsidRDefault="00D52A6A" w:rsidP="00E21D7D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Required/    Optional</w:t>
            </w:r>
          </w:p>
        </w:tc>
        <w:tc>
          <w:tcPr>
            <w:tcW w:w="5040" w:type="dxa"/>
          </w:tcPr>
          <w:p w14:paraId="4E10DB3B" w14:textId="20CA52EB" w:rsidR="00D52A6A" w:rsidRPr="00CE7A57" w:rsidRDefault="00D52A6A" w:rsidP="00E21D7D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Description</w:t>
            </w:r>
          </w:p>
        </w:tc>
      </w:tr>
      <w:tr w:rsidR="00D52A6A" w14:paraId="38329A39" w14:textId="77777777" w:rsidTr="0036325B">
        <w:trPr>
          <w:trHeight w:val="512"/>
          <w:jc w:val="center"/>
        </w:trPr>
        <w:tc>
          <w:tcPr>
            <w:tcW w:w="1255" w:type="dxa"/>
          </w:tcPr>
          <w:p w14:paraId="2692A8B2" w14:textId="450CE1F1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Cost Center</w:t>
            </w:r>
          </w:p>
        </w:tc>
        <w:tc>
          <w:tcPr>
            <w:tcW w:w="1170" w:type="dxa"/>
          </w:tcPr>
          <w:p w14:paraId="76688412" w14:textId="31D7BC31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Text</w:t>
            </w:r>
          </w:p>
        </w:tc>
        <w:tc>
          <w:tcPr>
            <w:tcW w:w="1260" w:type="dxa"/>
          </w:tcPr>
          <w:p w14:paraId="1ECD0AD3" w14:textId="06B32245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184738E8" w14:textId="24B23D00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Optional</w:t>
            </w:r>
          </w:p>
        </w:tc>
        <w:tc>
          <w:tcPr>
            <w:tcW w:w="5040" w:type="dxa"/>
          </w:tcPr>
          <w:p w14:paraId="635E6AC3" w14:textId="4B5A9555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 xml:space="preserve">Displays the cost center </w:t>
            </w:r>
            <w:r>
              <w:rPr>
                <w:rFonts w:ascii="Verdana" w:hAnsi="Verdana" w:cs="Verdana"/>
                <w:sz w:val="18"/>
                <w:szCs w:val="18"/>
              </w:rPr>
              <w:t>assigned to the position</w:t>
            </w:r>
            <w:r w:rsidRPr="00CE7A57">
              <w:rPr>
                <w:rFonts w:ascii="Verdana" w:hAnsi="Verdana" w:cs="Verdana"/>
                <w:sz w:val="18"/>
                <w:szCs w:val="18"/>
              </w:rPr>
              <w:t xml:space="preserve"> (e.g.</w:t>
            </w:r>
            <w:r w:rsidRPr="00CE7A57">
              <w:rPr>
                <w:sz w:val="18"/>
                <w:szCs w:val="18"/>
              </w:rPr>
              <w:t xml:space="preserve"> </w:t>
            </w:r>
            <w:r w:rsidRPr="00CE7A57">
              <w:rPr>
                <w:rFonts w:ascii="Verdana" w:hAnsi="Verdana" w:cs="Verdana"/>
                <w:sz w:val="18"/>
                <w:szCs w:val="18"/>
              </w:rPr>
              <w:t xml:space="preserve">6738311000 - </w:t>
            </w:r>
            <w:proofErr w:type="spellStart"/>
            <w:r w:rsidRPr="00CE7A57">
              <w:rPr>
                <w:rFonts w:ascii="Verdana" w:hAnsi="Verdana" w:cs="Verdana"/>
                <w:sz w:val="18"/>
                <w:szCs w:val="18"/>
              </w:rPr>
              <w:t>Div</w:t>
            </w:r>
            <w:proofErr w:type="spellEnd"/>
            <w:r w:rsidRPr="00CE7A57">
              <w:rPr>
                <w:rFonts w:ascii="Verdana" w:hAnsi="Verdana" w:cs="Verdana"/>
                <w:sz w:val="18"/>
                <w:szCs w:val="18"/>
              </w:rPr>
              <w:t xml:space="preserve"> of Nursing Care).</w:t>
            </w:r>
          </w:p>
        </w:tc>
      </w:tr>
      <w:tr w:rsidR="00D52A6A" w14:paraId="5E47155A" w14:textId="77777777" w:rsidTr="0036325B">
        <w:trPr>
          <w:jc w:val="center"/>
        </w:trPr>
        <w:tc>
          <w:tcPr>
            <w:tcW w:w="1255" w:type="dxa"/>
          </w:tcPr>
          <w:p w14:paraId="4810CB5D" w14:textId="44E420B7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CPSL Clearances</w:t>
            </w:r>
          </w:p>
        </w:tc>
        <w:tc>
          <w:tcPr>
            <w:tcW w:w="1170" w:type="dxa"/>
          </w:tcPr>
          <w:p w14:paraId="5EEF99AC" w14:textId="4B3C5DAF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Checkbox</w:t>
            </w:r>
          </w:p>
        </w:tc>
        <w:tc>
          <w:tcPr>
            <w:tcW w:w="1260" w:type="dxa"/>
          </w:tcPr>
          <w:p w14:paraId="14EFB991" w14:textId="1B91911E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7374B5B9" w14:textId="137F692B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Optional</w:t>
            </w:r>
          </w:p>
        </w:tc>
        <w:tc>
          <w:tcPr>
            <w:tcW w:w="5040" w:type="dxa"/>
          </w:tcPr>
          <w:p w14:paraId="6059560D" w14:textId="5458DED8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Indicates if the position requires clearances under the Child Protective Services Law. The “Required” box will be checked if the clearance qualification</w:t>
            </w:r>
            <w:r w:rsidR="001C7E2D">
              <w:rPr>
                <w:rFonts w:ascii="Verdana" w:hAnsi="Verdana" w:cs="Verdana"/>
                <w:sz w:val="18"/>
                <w:szCs w:val="18"/>
              </w:rPr>
              <w:t>(</w:t>
            </w:r>
            <w:r w:rsidRPr="00CE7A57">
              <w:rPr>
                <w:rFonts w:ascii="Verdana" w:hAnsi="Verdana" w:cs="Verdana"/>
                <w:sz w:val="18"/>
                <w:szCs w:val="18"/>
              </w:rPr>
              <w:t>s</w:t>
            </w:r>
            <w:r w:rsidR="001C7E2D">
              <w:rPr>
                <w:rFonts w:ascii="Verdana" w:hAnsi="Verdana" w:cs="Verdana"/>
                <w:sz w:val="18"/>
                <w:szCs w:val="18"/>
              </w:rPr>
              <w:t>)</w:t>
            </w:r>
            <w:r w:rsidRPr="00CE7A57">
              <w:rPr>
                <w:rFonts w:ascii="Verdana" w:hAnsi="Verdana" w:cs="Verdana"/>
                <w:sz w:val="18"/>
                <w:szCs w:val="18"/>
              </w:rPr>
              <w:t xml:space="preserve"> are assigned to the job or position in SAP.</w:t>
            </w:r>
          </w:p>
        </w:tc>
      </w:tr>
      <w:tr w:rsidR="00D52A6A" w14:paraId="2A724963" w14:textId="77777777" w:rsidTr="0036325B">
        <w:trPr>
          <w:trHeight w:val="1493"/>
          <w:jc w:val="center"/>
        </w:trPr>
        <w:tc>
          <w:tcPr>
            <w:tcW w:w="1255" w:type="dxa"/>
          </w:tcPr>
          <w:p w14:paraId="0711CAFB" w14:textId="02BEF4A3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FTI Clearances</w:t>
            </w:r>
          </w:p>
        </w:tc>
        <w:tc>
          <w:tcPr>
            <w:tcW w:w="1170" w:type="dxa"/>
          </w:tcPr>
          <w:p w14:paraId="4B26099B" w14:textId="050C6B33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Checkbox</w:t>
            </w:r>
          </w:p>
        </w:tc>
        <w:tc>
          <w:tcPr>
            <w:tcW w:w="1260" w:type="dxa"/>
          </w:tcPr>
          <w:p w14:paraId="0750EE5A" w14:textId="3A78F8ED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5E872C90" w14:textId="19F25E08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Optional</w:t>
            </w:r>
          </w:p>
        </w:tc>
        <w:tc>
          <w:tcPr>
            <w:tcW w:w="5040" w:type="dxa"/>
          </w:tcPr>
          <w:p w14:paraId="5BC833A6" w14:textId="479C0119" w:rsidR="00D52A6A" w:rsidRPr="00366E3C" w:rsidRDefault="00D52A6A" w:rsidP="001C7E2D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Indicates if the position requires clearances as a result of access to Federal Tax Information. The “Required” box will be checked if the clearance qualification</w:t>
            </w:r>
            <w:r w:rsidR="001C7E2D">
              <w:rPr>
                <w:rFonts w:ascii="Verdana" w:hAnsi="Verdana" w:cs="Verdana"/>
                <w:sz w:val="18"/>
                <w:szCs w:val="18"/>
              </w:rPr>
              <w:t>(</w:t>
            </w:r>
            <w:r w:rsidRPr="00CE7A57">
              <w:rPr>
                <w:rFonts w:ascii="Verdana" w:hAnsi="Verdana" w:cs="Verdana"/>
                <w:sz w:val="18"/>
                <w:szCs w:val="18"/>
              </w:rPr>
              <w:t>s</w:t>
            </w:r>
            <w:r w:rsidR="001C7E2D">
              <w:rPr>
                <w:rFonts w:ascii="Verdana" w:hAnsi="Verdana" w:cs="Verdana"/>
                <w:sz w:val="18"/>
                <w:szCs w:val="18"/>
              </w:rPr>
              <w:t>)</w:t>
            </w:r>
            <w:r w:rsidRPr="00CE7A57">
              <w:rPr>
                <w:rFonts w:ascii="Verdana" w:hAnsi="Verdana" w:cs="Verdana"/>
                <w:sz w:val="18"/>
                <w:szCs w:val="18"/>
              </w:rPr>
              <w:t xml:space="preserve"> are assigned to the job or position in SAP.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968D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Special </w:t>
            </w:r>
            <w:r w:rsidR="001C7E2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Note: This field should remain unchecked until further notice. </w:t>
            </w:r>
            <w:r w:rsidR="00856BC0" w:rsidRPr="00D51CB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The </w:t>
            </w:r>
            <w:r w:rsidR="00856BC0">
              <w:rPr>
                <w:rFonts w:ascii="Verdana" w:hAnsi="Verdana" w:cs="Verdana"/>
                <w:b/>
                <w:bCs/>
                <w:sz w:val="18"/>
                <w:szCs w:val="18"/>
              </w:rPr>
              <w:t>FTI Clearance</w:t>
            </w:r>
            <w:r w:rsidR="001C7E2D"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 w:rsidR="00856BC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856BC0" w:rsidRPr="00D51CB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process </w:t>
            </w:r>
            <w:r w:rsidR="00856BC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is pending implementation. </w:t>
            </w:r>
            <w:r w:rsidR="00BF2BD0">
              <w:rPr>
                <w:rFonts w:ascii="Verdana" w:hAnsi="Verdana" w:cs="Verdana"/>
                <w:b/>
                <w:bCs/>
                <w:sz w:val="18"/>
                <w:szCs w:val="18"/>
              </w:rPr>
              <w:t>Further</w:t>
            </w:r>
            <w:r w:rsidR="001C7E2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information will be distributed </w:t>
            </w:r>
            <w:proofErr w:type="gramStart"/>
            <w:r w:rsidR="00C16CD2">
              <w:rPr>
                <w:rFonts w:ascii="Verdana" w:hAnsi="Verdana" w:cs="Verdana"/>
                <w:b/>
                <w:bCs/>
                <w:sz w:val="18"/>
                <w:szCs w:val="18"/>
              </w:rPr>
              <w:t>at a later date</w:t>
            </w:r>
            <w:proofErr w:type="gramEnd"/>
            <w:r w:rsidR="00C16CD2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  <w:tr w:rsidR="00D52A6A" w14:paraId="1DB5530C" w14:textId="77777777" w:rsidTr="00366E3C">
        <w:trPr>
          <w:trHeight w:val="557"/>
          <w:jc w:val="center"/>
        </w:trPr>
        <w:tc>
          <w:tcPr>
            <w:tcW w:w="1255" w:type="dxa"/>
          </w:tcPr>
          <w:p w14:paraId="441F40C1" w14:textId="03A2E9E6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Position Review</w:t>
            </w:r>
          </w:p>
        </w:tc>
        <w:tc>
          <w:tcPr>
            <w:tcW w:w="1170" w:type="dxa"/>
          </w:tcPr>
          <w:p w14:paraId="1EE435C3" w14:textId="2BCB8F13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Checkbox</w:t>
            </w:r>
          </w:p>
        </w:tc>
        <w:tc>
          <w:tcPr>
            <w:tcW w:w="1260" w:type="dxa"/>
          </w:tcPr>
          <w:p w14:paraId="64D2B05B" w14:textId="4DF26B72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6E885DAB" w14:textId="10A7076D" w:rsidR="00D52A6A" w:rsidRPr="00CE7A57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Optional</w:t>
            </w:r>
          </w:p>
        </w:tc>
        <w:tc>
          <w:tcPr>
            <w:tcW w:w="5040" w:type="dxa"/>
          </w:tcPr>
          <w:p w14:paraId="7BDB0E02" w14:textId="697DB50E" w:rsidR="00D52A6A" w:rsidRPr="00366E3C" w:rsidRDefault="00D52A6A" w:rsidP="00E47F8A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Indicates if the position requires a classification review. The “Required” box will be checked if the position has an active “Position Review” indicator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 SAP</w:t>
            </w:r>
            <w:r w:rsidRPr="00CE7A57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68D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Special </w:t>
            </w:r>
            <w:r w:rsidR="004747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Note: This field should remain unchecked until further notice. </w:t>
            </w:r>
            <w:r w:rsidR="00474719" w:rsidRPr="00D51CB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The </w:t>
            </w:r>
            <w:r w:rsidR="004747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Position Review </w:t>
            </w:r>
            <w:r w:rsidR="00474719" w:rsidRPr="00D51CB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process </w:t>
            </w:r>
            <w:r w:rsidR="004747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is pending implementation. </w:t>
            </w:r>
            <w:r w:rsidR="00BF2BD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Further </w:t>
            </w:r>
            <w:r w:rsidR="0047471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information will be distributed </w:t>
            </w:r>
            <w:proofErr w:type="gramStart"/>
            <w:r w:rsidR="00C16CD2">
              <w:rPr>
                <w:rFonts w:ascii="Verdana" w:hAnsi="Verdana" w:cs="Verdana"/>
                <w:b/>
                <w:bCs/>
                <w:sz w:val="18"/>
                <w:szCs w:val="18"/>
              </w:rPr>
              <w:t>at a later date</w:t>
            </w:r>
            <w:proofErr w:type="gramEnd"/>
            <w:r w:rsidR="00C16CD2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</w:tbl>
    <w:p w14:paraId="4FF49864" w14:textId="77777777" w:rsidR="00E21D7D" w:rsidRDefault="00E21D7D" w:rsidP="00E47F8A">
      <w:pPr>
        <w:spacing w:after="60"/>
        <w:rPr>
          <w:rFonts w:ascii="Verdana" w:hAnsi="Verdana" w:cs="Verdana"/>
          <w:sz w:val="20"/>
          <w:szCs w:val="20"/>
        </w:rPr>
      </w:pPr>
    </w:p>
    <w:p w14:paraId="5B2B23CA" w14:textId="1BD7B65D" w:rsidR="00487520" w:rsidRDefault="00003D31" w:rsidP="0036325B">
      <w:pPr>
        <w:spacing w:after="6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8F279D">
        <w:rPr>
          <w:rFonts w:ascii="Verdana" w:hAnsi="Verdana" w:cs="Verdana"/>
          <w:b/>
          <w:bCs/>
          <w:noProof/>
          <w:sz w:val="20"/>
          <w:szCs w:val="20"/>
        </w:rPr>
        <w:lastRenderedPageBreak/>
        <w:drawing>
          <wp:inline distT="0" distB="0" distL="0" distR="0" wp14:anchorId="567F5DE9" wp14:editId="2A70013B">
            <wp:extent cx="6456680" cy="1628775"/>
            <wp:effectExtent l="19050" t="19050" r="2032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1696" cy="16502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7BC528" w14:textId="77777777" w:rsidR="00563BD8" w:rsidRDefault="00563BD8" w:rsidP="0036325B">
      <w:pPr>
        <w:spacing w:after="6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B0F1A60" w14:textId="0DE62E9B" w:rsidR="00487520" w:rsidRDefault="00487520" w:rsidP="00487520">
      <w:pPr>
        <w:spacing w:after="6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8F279D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 wp14:anchorId="529698EB" wp14:editId="6FC96294">
            <wp:extent cx="3837940" cy="5267325"/>
            <wp:effectExtent l="19050" t="19050" r="1016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8207" cy="5295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1C7483" w14:textId="50477249" w:rsidR="00003D31" w:rsidRDefault="00003D31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FF843CB" w14:textId="6499EA7B" w:rsidR="00563BD8" w:rsidRDefault="00563BD8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FC55589" w14:textId="77777777" w:rsidR="00C22173" w:rsidRDefault="00C22173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7AACA97" w14:textId="3E2AAB2B" w:rsidR="00563BD8" w:rsidRDefault="00563BD8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5D008E0" w14:textId="246C1B3E" w:rsidR="006C0CD3" w:rsidRDefault="00CE7A57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Revised </w:t>
      </w:r>
      <w:r w:rsidR="007025D1">
        <w:rPr>
          <w:rFonts w:ascii="Verdana" w:hAnsi="Verdana" w:cs="Verdana"/>
          <w:b/>
          <w:bCs/>
          <w:sz w:val="20"/>
          <w:szCs w:val="20"/>
          <w:u w:val="single"/>
        </w:rPr>
        <w:t xml:space="preserve">Custom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Fields</w:t>
      </w:r>
    </w:p>
    <w:p w14:paraId="280E3CA3" w14:textId="2EB50F80" w:rsidR="00563BD8" w:rsidRDefault="00A97DD4" w:rsidP="00563B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Several </w:t>
      </w:r>
      <w:r w:rsidR="00352714">
        <w:rPr>
          <w:rFonts w:ascii="Verdana" w:hAnsi="Verdana" w:cs="Verdana"/>
          <w:sz w:val="20"/>
          <w:szCs w:val="20"/>
        </w:rPr>
        <w:t xml:space="preserve">custom </w:t>
      </w:r>
      <w:r w:rsidR="006C0CD3">
        <w:rPr>
          <w:rFonts w:ascii="Verdana" w:hAnsi="Verdana" w:cs="Verdana"/>
          <w:sz w:val="20"/>
          <w:szCs w:val="20"/>
        </w:rPr>
        <w:t>fields on</w:t>
      </w:r>
      <w:r w:rsidR="00C22173">
        <w:rPr>
          <w:rFonts w:ascii="Verdana" w:hAnsi="Verdana" w:cs="Verdana"/>
          <w:sz w:val="20"/>
          <w:szCs w:val="20"/>
        </w:rPr>
        <w:t xml:space="preserve"> the</w:t>
      </w:r>
      <w:r w:rsidR="006C0CD3">
        <w:rPr>
          <w:rFonts w:ascii="Verdana" w:hAnsi="Verdana" w:cs="Verdana"/>
          <w:sz w:val="20"/>
          <w:szCs w:val="20"/>
        </w:rPr>
        <w:t xml:space="preserve"> requisition and hire form</w:t>
      </w:r>
      <w:r w:rsidR="003561E2">
        <w:rPr>
          <w:rFonts w:ascii="Verdana" w:hAnsi="Verdana" w:cs="Verdana"/>
          <w:sz w:val="20"/>
          <w:szCs w:val="20"/>
        </w:rPr>
        <w:t xml:space="preserve"> </w:t>
      </w:r>
      <w:r w:rsidR="0036325B">
        <w:rPr>
          <w:rFonts w:ascii="Verdana" w:hAnsi="Verdana" w:cs="Verdana"/>
          <w:sz w:val="20"/>
          <w:szCs w:val="20"/>
        </w:rPr>
        <w:t xml:space="preserve">that are linked to the position control interface </w:t>
      </w:r>
      <w:r w:rsidR="003561E2">
        <w:rPr>
          <w:rFonts w:ascii="Verdana" w:hAnsi="Verdana" w:cs="Verdana"/>
          <w:sz w:val="20"/>
          <w:szCs w:val="20"/>
        </w:rPr>
        <w:t>will be</w:t>
      </w:r>
      <w:r>
        <w:rPr>
          <w:rFonts w:ascii="Verdana" w:hAnsi="Verdana" w:cs="Verdana"/>
          <w:sz w:val="20"/>
          <w:szCs w:val="20"/>
        </w:rPr>
        <w:t xml:space="preserve"> changing to a dropdown format. </w:t>
      </w:r>
      <w:r w:rsidR="005938A1">
        <w:rPr>
          <w:rFonts w:ascii="Verdana" w:hAnsi="Verdana" w:cs="Verdana"/>
          <w:sz w:val="20"/>
          <w:szCs w:val="20"/>
        </w:rPr>
        <w:t>The format change will</w:t>
      </w:r>
      <w:r>
        <w:rPr>
          <w:rFonts w:ascii="Verdana" w:hAnsi="Verdana" w:cs="Verdana"/>
          <w:sz w:val="20"/>
          <w:szCs w:val="20"/>
        </w:rPr>
        <w:t xml:space="preserve"> control the input of values and ensure consistency</w:t>
      </w:r>
      <w:r w:rsidR="005938A1">
        <w:rPr>
          <w:rFonts w:ascii="Verdana" w:hAnsi="Verdana" w:cs="Verdana"/>
          <w:sz w:val="20"/>
          <w:szCs w:val="20"/>
        </w:rPr>
        <w:t xml:space="preserve"> when </w:t>
      </w:r>
      <w:r w:rsidR="009254B2">
        <w:rPr>
          <w:rFonts w:ascii="Verdana" w:hAnsi="Verdana" w:cs="Verdana"/>
          <w:sz w:val="20"/>
          <w:szCs w:val="20"/>
        </w:rPr>
        <w:t>the</w:t>
      </w:r>
      <w:r w:rsidR="003561E2">
        <w:rPr>
          <w:rFonts w:ascii="Verdana" w:hAnsi="Verdana" w:cs="Verdana"/>
          <w:sz w:val="20"/>
          <w:szCs w:val="20"/>
        </w:rPr>
        <w:t xml:space="preserve"> fields are </w:t>
      </w:r>
      <w:r w:rsidR="00586DD4">
        <w:rPr>
          <w:rFonts w:ascii="Verdana" w:hAnsi="Verdana" w:cs="Verdana"/>
          <w:sz w:val="20"/>
          <w:szCs w:val="20"/>
        </w:rPr>
        <w:t xml:space="preserve">manually </w:t>
      </w:r>
      <w:r w:rsidR="003561E2">
        <w:rPr>
          <w:rFonts w:ascii="Verdana" w:hAnsi="Verdana" w:cs="Verdana"/>
          <w:sz w:val="20"/>
          <w:szCs w:val="20"/>
        </w:rPr>
        <w:t>completed.</w:t>
      </w:r>
      <w:r w:rsidR="00487520">
        <w:rPr>
          <w:rFonts w:ascii="Verdana" w:hAnsi="Verdana" w:cs="Verdana"/>
          <w:sz w:val="20"/>
          <w:szCs w:val="20"/>
        </w:rPr>
        <w:t xml:space="preserve"> </w:t>
      </w:r>
      <w:r w:rsidR="00563BD8">
        <w:rPr>
          <w:rFonts w:ascii="Verdana" w:hAnsi="Verdana" w:cs="Verdana"/>
          <w:sz w:val="20"/>
          <w:szCs w:val="20"/>
        </w:rPr>
        <w:t>Information regarding each revised field is outlined below.</w:t>
      </w:r>
    </w:p>
    <w:p w14:paraId="2F9406E9" w14:textId="77777777" w:rsidR="0036325B" w:rsidRDefault="0036325B" w:rsidP="0036325B">
      <w:pPr>
        <w:rPr>
          <w:rFonts w:ascii="Verdana" w:hAnsi="Verdana" w:cs="Verdana"/>
          <w:sz w:val="20"/>
          <w:szCs w:val="20"/>
        </w:rPr>
      </w:pPr>
    </w:p>
    <w:p w14:paraId="01B8BBF9" w14:textId="085D7444" w:rsidR="0036325B" w:rsidRDefault="0036325B" w:rsidP="0048752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note the fields will need manual </w:t>
      </w:r>
      <w:r w:rsidR="008C7C85">
        <w:rPr>
          <w:rFonts w:ascii="Verdana" w:hAnsi="Verdana" w:cs="Verdana"/>
          <w:sz w:val="20"/>
          <w:szCs w:val="20"/>
        </w:rPr>
        <w:t xml:space="preserve">completion </w:t>
      </w:r>
      <w:r>
        <w:rPr>
          <w:rFonts w:ascii="Verdana" w:hAnsi="Verdana" w:cs="Verdana"/>
          <w:sz w:val="20"/>
          <w:szCs w:val="20"/>
        </w:rPr>
        <w:t>on Monday, 06/01/2020. The values will not begin to auto-populate within the NEOGOV system until Tuesday, 06/02/2020, due to the interface run schedule.</w:t>
      </w:r>
    </w:p>
    <w:p w14:paraId="4419850C" w14:textId="6C716908" w:rsidR="00563BD8" w:rsidRDefault="00563BD8" w:rsidP="00563BD8">
      <w:pPr>
        <w:tabs>
          <w:tab w:val="left" w:pos="847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6FE44D91" w14:textId="069F9436" w:rsidR="008947AD" w:rsidRDefault="008947AD" w:rsidP="008947A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Furthermore</w:t>
      </w:r>
      <w:r w:rsidR="00366E3C">
        <w:rPr>
          <w:rFonts w:ascii="Verdana" w:hAnsi="Verdana" w:cs="Verdana"/>
          <w:sz w:val="20"/>
          <w:szCs w:val="20"/>
        </w:rPr>
        <w:t>, the format on the current</w:t>
      </w:r>
      <w:r w:rsidR="00A029E4">
        <w:rPr>
          <w:rFonts w:ascii="Verdana" w:hAnsi="Verdana" w:cs="Verdana"/>
          <w:sz w:val="20"/>
          <w:szCs w:val="20"/>
        </w:rPr>
        <w:t xml:space="preserve"> custom</w:t>
      </w:r>
      <w:r w:rsidR="00366E3C">
        <w:rPr>
          <w:rFonts w:ascii="Verdana" w:hAnsi="Verdana" w:cs="Verdana"/>
          <w:sz w:val="20"/>
          <w:szCs w:val="20"/>
        </w:rPr>
        <w:t xml:space="preserve"> fields could not be changed</w:t>
      </w:r>
      <w:r w:rsidR="00C22173">
        <w:rPr>
          <w:rFonts w:ascii="Verdana" w:hAnsi="Verdana" w:cs="Verdana"/>
          <w:sz w:val="20"/>
          <w:szCs w:val="20"/>
        </w:rPr>
        <w:t xml:space="preserve"> due to system restrictions</w:t>
      </w:r>
      <w:r w:rsidR="00366E3C">
        <w:rPr>
          <w:rFonts w:ascii="Verdana" w:hAnsi="Verdana" w:cs="Verdana"/>
          <w:sz w:val="20"/>
          <w:szCs w:val="20"/>
        </w:rPr>
        <w:t xml:space="preserve">. The new dropdown fields will replace the current text fields. This means </w:t>
      </w:r>
      <w:r w:rsidR="00487520">
        <w:rPr>
          <w:rFonts w:ascii="Verdana" w:hAnsi="Verdana" w:cs="Verdana"/>
          <w:sz w:val="20"/>
          <w:szCs w:val="20"/>
        </w:rPr>
        <w:t xml:space="preserve">the </w:t>
      </w:r>
      <w:r w:rsidR="00C24C6C">
        <w:rPr>
          <w:rFonts w:ascii="Verdana" w:hAnsi="Verdana" w:cs="Verdana"/>
          <w:sz w:val="20"/>
          <w:szCs w:val="20"/>
        </w:rPr>
        <w:t>values</w:t>
      </w:r>
      <w:r w:rsidR="00366E3C">
        <w:rPr>
          <w:rFonts w:ascii="Verdana" w:hAnsi="Verdana" w:cs="Verdana"/>
          <w:sz w:val="20"/>
          <w:szCs w:val="20"/>
        </w:rPr>
        <w:t xml:space="preserve"> associated</w:t>
      </w:r>
      <w:r w:rsidR="00C24C6C">
        <w:rPr>
          <w:rFonts w:ascii="Verdana" w:hAnsi="Verdana" w:cs="Verdana"/>
          <w:sz w:val="20"/>
          <w:szCs w:val="20"/>
        </w:rPr>
        <w:t xml:space="preserve"> with these fields will no longer </w:t>
      </w:r>
      <w:r>
        <w:rPr>
          <w:rFonts w:ascii="Verdana" w:hAnsi="Verdana" w:cs="Verdana"/>
          <w:sz w:val="20"/>
          <w:szCs w:val="20"/>
        </w:rPr>
        <w:t>be visible on</w:t>
      </w:r>
      <w:r w:rsidR="00C24C6C">
        <w:rPr>
          <w:rFonts w:ascii="Verdana" w:hAnsi="Verdana" w:cs="Verdana"/>
          <w:sz w:val="20"/>
          <w:szCs w:val="20"/>
        </w:rPr>
        <w:t xml:space="preserve"> requisition and hire forms </w:t>
      </w:r>
      <w:r w:rsidR="00487520">
        <w:rPr>
          <w:rFonts w:ascii="Verdana" w:hAnsi="Verdana" w:cs="Verdana"/>
          <w:sz w:val="20"/>
          <w:szCs w:val="20"/>
        </w:rPr>
        <w:t xml:space="preserve">that were created prior to the </w:t>
      </w:r>
      <w:r>
        <w:rPr>
          <w:rFonts w:ascii="Verdana" w:hAnsi="Verdana" w:cs="Verdana"/>
          <w:sz w:val="20"/>
          <w:szCs w:val="20"/>
        </w:rPr>
        <w:t>switchover</w:t>
      </w:r>
      <w:r w:rsidR="00C24C6C">
        <w:rPr>
          <w:rFonts w:ascii="Verdana" w:hAnsi="Verdana" w:cs="Verdana"/>
          <w:sz w:val="20"/>
          <w:szCs w:val="20"/>
        </w:rPr>
        <w:t xml:space="preserve"> on Monday, 06/01/2020. </w:t>
      </w:r>
    </w:p>
    <w:p w14:paraId="7764FD36" w14:textId="77777777" w:rsidR="008947AD" w:rsidRDefault="008947AD" w:rsidP="008947AD">
      <w:pPr>
        <w:rPr>
          <w:rFonts w:ascii="Verdana" w:hAnsi="Verdana" w:cs="Verdana"/>
          <w:sz w:val="20"/>
          <w:szCs w:val="20"/>
        </w:rPr>
      </w:pPr>
    </w:p>
    <w:p w14:paraId="66299A99" w14:textId="2AB70755" w:rsidR="00487520" w:rsidRDefault="008947AD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AA2E30">
        <w:rPr>
          <w:rFonts w:ascii="Verdana" w:hAnsi="Verdana" w:cs="Verdana"/>
          <w:sz w:val="20"/>
          <w:szCs w:val="20"/>
        </w:rPr>
        <w:t xml:space="preserve">new </w:t>
      </w:r>
      <w:r>
        <w:rPr>
          <w:rFonts w:ascii="Verdana" w:hAnsi="Verdana" w:cs="Verdana"/>
          <w:sz w:val="20"/>
          <w:szCs w:val="20"/>
        </w:rPr>
        <w:t xml:space="preserve">dropdown fields </w:t>
      </w:r>
      <w:r w:rsidR="00AA2E30">
        <w:rPr>
          <w:rFonts w:ascii="Verdana" w:hAnsi="Verdana" w:cs="Verdana"/>
          <w:sz w:val="20"/>
          <w:szCs w:val="20"/>
        </w:rPr>
        <w:t>will remain blank</w:t>
      </w:r>
      <w:r>
        <w:rPr>
          <w:rFonts w:ascii="Verdana" w:hAnsi="Verdana" w:cs="Verdana"/>
          <w:sz w:val="20"/>
          <w:szCs w:val="20"/>
        </w:rPr>
        <w:t xml:space="preserve"> until</w:t>
      </w:r>
      <w:r w:rsidR="00AA2E30">
        <w:rPr>
          <w:rFonts w:ascii="Verdana" w:hAnsi="Verdana" w:cs="Verdana"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 xml:space="preserve"> </w:t>
      </w:r>
      <w:r w:rsidR="00AA2E30">
        <w:rPr>
          <w:rFonts w:ascii="Verdana" w:hAnsi="Verdana" w:cs="Verdana"/>
          <w:sz w:val="20"/>
          <w:szCs w:val="20"/>
        </w:rPr>
        <w:t xml:space="preserve">user is </w:t>
      </w:r>
      <w:r w:rsidR="008C7C85">
        <w:rPr>
          <w:rFonts w:ascii="Verdana" w:hAnsi="Verdana" w:cs="Verdana"/>
          <w:sz w:val="20"/>
          <w:szCs w:val="20"/>
        </w:rPr>
        <w:t xml:space="preserve">required </w:t>
      </w:r>
      <w:r w:rsidR="00AA2E30">
        <w:rPr>
          <w:rFonts w:ascii="Verdana" w:hAnsi="Verdana" w:cs="Verdana"/>
          <w:sz w:val="20"/>
          <w:szCs w:val="20"/>
        </w:rPr>
        <w:t xml:space="preserve">to update them when making a change to </w:t>
      </w:r>
      <w:r w:rsidR="007B4243">
        <w:rPr>
          <w:rFonts w:ascii="Verdana" w:hAnsi="Verdana" w:cs="Verdana"/>
          <w:sz w:val="20"/>
          <w:szCs w:val="20"/>
        </w:rPr>
        <w:t>the</w:t>
      </w:r>
      <w:r w:rsidR="00AA2E30">
        <w:rPr>
          <w:rFonts w:ascii="Verdana" w:hAnsi="Verdana" w:cs="Verdana"/>
          <w:sz w:val="20"/>
          <w:szCs w:val="20"/>
        </w:rPr>
        <w:t xml:space="preserve"> requisition or hire form. </w:t>
      </w:r>
      <w:r w:rsidR="00C24C6C">
        <w:rPr>
          <w:rFonts w:ascii="Verdana" w:hAnsi="Verdana" w:cs="Verdana"/>
          <w:sz w:val="20"/>
          <w:szCs w:val="20"/>
        </w:rPr>
        <w:t>The blank fields will not prevent</w:t>
      </w:r>
      <w:r w:rsidR="00AA2E30">
        <w:rPr>
          <w:rFonts w:ascii="Verdana" w:hAnsi="Verdana" w:cs="Verdana"/>
          <w:sz w:val="20"/>
          <w:szCs w:val="20"/>
        </w:rPr>
        <w:t xml:space="preserve"> </w:t>
      </w:r>
      <w:r w:rsidR="00C24C6C">
        <w:rPr>
          <w:rFonts w:ascii="Verdana" w:hAnsi="Verdana" w:cs="Verdana"/>
          <w:sz w:val="20"/>
          <w:szCs w:val="20"/>
        </w:rPr>
        <w:t>approver</w:t>
      </w:r>
      <w:r w:rsidR="00AA2E30">
        <w:rPr>
          <w:rFonts w:ascii="Verdana" w:hAnsi="Verdana" w:cs="Verdana"/>
          <w:sz w:val="20"/>
          <w:szCs w:val="20"/>
        </w:rPr>
        <w:t>s</w:t>
      </w:r>
      <w:r w:rsidR="00C24C6C">
        <w:rPr>
          <w:rFonts w:ascii="Verdana" w:hAnsi="Verdana" w:cs="Verdana"/>
          <w:sz w:val="20"/>
          <w:szCs w:val="20"/>
        </w:rPr>
        <w:t xml:space="preserve"> from </w:t>
      </w:r>
      <w:r w:rsidR="00AB2C6C">
        <w:rPr>
          <w:rFonts w:ascii="Verdana" w:hAnsi="Verdana" w:cs="Verdana"/>
          <w:sz w:val="20"/>
          <w:szCs w:val="20"/>
        </w:rPr>
        <w:t xml:space="preserve">taking action to approve or deny requisition and hire forms that are routing through the approval </w:t>
      </w:r>
      <w:r w:rsidR="00AA2E30">
        <w:rPr>
          <w:rFonts w:ascii="Verdana" w:hAnsi="Verdana" w:cs="Verdana"/>
          <w:sz w:val="20"/>
          <w:szCs w:val="20"/>
        </w:rPr>
        <w:t>process.</w:t>
      </w:r>
    </w:p>
    <w:p w14:paraId="01D0E2C2" w14:textId="38CB82B0" w:rsidR="00A97DD4" w:rsidRDefault="00A97DD4" w:rsidP="001F5C3D">
      <w:pPr>
        <w:spacing w:after="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260"/>
        <w:gridCol w:w="5845"/>
      </w:tblGrid>
      <w:tr w:rsidR="000E7148" w:rsidRPr="00CE7A57" w14:paraId="718286FA" w14:textId="7998C476" w:rsidTr="00D801DC">
        <w:trPr>
          <w:trHeight w:val="467"/>
          <w:jc w:val="center"/>
        </w:trPr>
        <w:tc>
          <w:tcPr>
            <w:tcW w:w="1530" w:type="dxa"/>
          </w:tcPr>
          <w:p w14:paraId="3C3DD9C9" w14:textId="77777777" w:rsidR="000E7148" w:rsidRPr="00CE7A57" w:rsidRDefault="000E7148" w:rsidP="00245052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Name</w:t>
            </w:r>
          </w:p>
        </w:tc>
        <w:tc>
          <w:tcPr>
            <w:tcW w:w="1350" w:type="dxa"/>
          </w:tcPr>
          <w:p w14:paraId="37B47EB7" w14:textId="77777777" w:rsidR="000E7148" w:rsidRPr="00CE7A57" w:rsidRDefault="000E7148" w:rsidP="00245052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Location</w:t>
            </w:r>
          </w:p>
        </w:tc>
        <w:tc>
          <w:tcPr>
            <w:tcW w:w="1260" w:type="dxa"/>
          </w:tcPr>
          <w:p w14:paraId="3E60ABEA" w14:textId="29D00D20" w:rsidR="000E7148" w:rsidRPr="00CE7A57" w:rsidRDefault="000E7148" w:rsidP="00245052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Required/Optional</w:t>
            </w:r>
          </w:p>
        </w:tc>
        <w:tc>
          <w:tcPr>
            <w:tcW w:w="5845" w:type="dxa"/>
          </w:tcPr>
          <w:p w14:paraId="74B5C997" w14:textId="4362BFB0" w:rsidR="000E7148" w:rsidRPr="00CE7A57" w:rsidRDefault="000E7148" w:rsidP="00245052">
            <w:pPr>
              <w:spacing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7A57">
              <w:rPr>
                <w:rFonts w:ascii="Verdana" w:hAnsi="Verdana" w:cs="Verdana"/>
                <w:b/>
                <w:bCs/>
                <w:sz w:val="18"/>
                <w:szCs w:val="18"/>
              </w:rPr>
              <w:t>Field Description</w:t>
            </w:r>
          </w:p>
        </w:tc>
      </w:tr>
      <w:tr w:rsidR="000E7148" w:rsidRPr="00CE7A57" w14:paraId="39476A98" w14:textId="7D03A741" w:rsidTr="00D801DC">
        <w:trPr>
          <w:trHeight w:val="70"/>
          <w:jc w:val="center"/>
        </w:trPr>
        <w:tc>
          <w:tcPr>
            <w:tcW w:w="1530" w:type="dxa"/>
          </w:tcPr>
          <w:p w14:paraId="4B79714A" w14:textId="19EE6B34" w:rsidR="000E7148" w:rsidRDefault="000E7148" w:rsidP="00245052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Barg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Unit</w:t>
            </w:r>
          </w:p>
        </w:tc>
        <w:tc>
          <w:tcPr>
            <w:tcW w:w="1350" w:type="dxa"/>
          </w:tcPr>
          <w:p w14:paraId="0CFBF735" w14:textId="648CD813" w:rsidR="000E7148" w:rsidRPr="00CE7A57" w:rsidRDefault="000E7148" w:rsidP="00A97DD4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Hire Form</w:t>
            </w:r>
          </w:p>
        </w:tc>
        <w:tc>
          <w:tcPr>
            <w:tcW w:w="1260" w:type="dxa"/>
          </w:tcPr>
          <w:p w14:paraId="02771E0A" w14:textId="51DE3A0C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10345D21" w14:textId="7C74BA35" w:rsidR="000E7148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the bargaining unit assigned to the position.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The dropdown field 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a list of bargaining unit </w:t>
            </w:r>
            <w:r w:rsidR="001544DB">
              <w:rPr>
                <w:rFonts w:ascii="Verdana" w:hAnsi="Verdana" w:cs="Verdana"/>
                <w:sz w:val="18"/>
                <w:szCs w:val="18"/>
              </w:rPr>
              <w:t>codes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(e.g. A1, A2, F4).</w:t>
            </w:r>
          </w:p>
        </w:tc>
      </w:tr>
      <w:tr w:rsidR="000E7148" w:rsidRPr="00CE7A57" w14:paraId="40B69FA7" w14:textId="43E57FD9" w:rsidTr="00D801DC">
        <w:trPr>
          <w:trHeight w:val="70"/>
          <w:jc w:val="center"/>
        </w:trPr>
        <w:tc>
          <w:tcPr>
            <w:tcW w:w="1530" w:type="dxa"/>
          </w:tcPr>
          <w:p w14:paraId="03D127DB" w14:textId="1F3C9B98" w:rsidR="000E7148" w:rsidRDefault="000E7148" w:rsidP="00245052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Dept Code</w:t>
            </w:r>
          </w:p>
        </w:tc>
        <w:tc>
          <w:tcPr>
            <w:tcW w:w="1350" w:type="dxa"/>
          </w:tcPr>
          <w:p w14:paraId="09F2BFD9" w14:textId="30A2607A" w:rsidR="000E7148" w:rsidRPr="00CE7A57" w:rsidRDefault="000E7148" w:rsidP="00A97DD4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Hire Form</w:t>
            </w:r>
          </w:p>
        </w:tc>
        <w:tc>
          <w:tcPr>
            <w:tcW w:w="1260" w:type="dxa"/>
          </w:tcPr>
          <w:p w14:paraId="4B924EB4" w14:textId="4DC96E3B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56667EE6" w14:textId="27629179" w:rsidR="000E7148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Indicates the department </w:t>
            </w:r>
            <w:r w:rsidR="001544DB">
              <w:rPr>
                <w:rFonts w:ascii="Verdana" w:hAnsi="Verdana" w:cs="Verdana"/>
                <w:sz w:val="18"/>
                <w:szCs w:val="18"/>
              </w:rPr>
              <w:t xml:space="preserve">assignment </w:t>
            </w:r>
            <w:r>
              <w:rPr>
                <w:rFonts w:ascii="Verdana" w:hAnsi="Verdana" w:cs="Verdana"/>
                <w:sz w:val="18"/>
                <w:szCs w:val="18"/>
              </w:rPr>
              <w:t>for the position.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The dropdown field</w:t>
            </w:r>
            <w:r w:rsidR="00A5756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82CEA">
              <w:rPr>
                <w:rFonts w:ascii="Verdana" w:hAnsi="Verdana" w:cs="Verdana"/>
                <w:sz w:val="18"/>
                <w:szCs w:val="18"/>
              </w:rPr>
              <w:t>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a list of department code</w:t>
            </w:r>
            <w:r w:rsidR="001544DB"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 w:rsidR="00A82CEA">
              <w:rPr>
                <w:rFonts w:ascii="Verdana" w:hAnsi="Verdana" w:cs="Verdana"/>
                <w:sz w:val="18"/>
                <w:szCs w:val="18"/>
              </w:rPr>
              <w:t>(e.g. 10, 10SL, 11, 11SL).</w:t>
            </w:r>
          </w:p>
        </w:tc>
      </w:tr>
      <w:tr w:rsidR="000E7148" w:rsidRPr="00CE7A57" w14:paraId="387B27E8" w14:textId="351F19F1" w:rsidTr="00D801DC">
        <w:trPr>
          <w:trHeight w:val="70"/>
          <w:jc w:val="center"/>
        </w:trPr>
        <w:tc>
          <w:tcPr>
            <w:tcW w:w="1530" w:type="dxa"/>
          </w:tcPr>
          <w:p w14:paraId="3917AFDF" w14:textId="628CF262" w:rsidR="000E7148" w:rsidRDefault="000E7148" w:rsidP="00245052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Location</w:t>
            </w:r>
          </w:p>
        </w:tc>
        <w:tc>
          <w:tcPr>
            <w:tcW w:w="1350" w:type="dxa"/>
          </w:tcPr>
          <w:p w14:paraId="5CC2CE8F" w14:textId="2A8F0216" w:rsidR="000E7148" w:rsidRPr="00CE7A57" w:rsidRDefault="000E7148" w:rsidP="00A97DD4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Hire Form</w:t>
            </w:r>
          </w:p>
        </w:tc>
        <w:tc>
          <w:tcPr>
            <w:tcW w:w="1260" w:type="dxa"/>
          </w:tcPr>
          <w:p w14:paraId="6BD91F2D" w14:textId="22048A38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05330AF8" w14:textId="3E0DE397" w:rsidR="000E7148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the headquarter county assigned to the position.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The dropdown field 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a list of county name</w:t>
            </w:r>
            <w:r w:rsidR="001544DB">
              <w:rPr>
                <w:rFonts w:ascii="Verdana" w:hAnsi="Verdana" w:cs="Verdana"/>
                <w:sz w:val="18"/>
                <w:szCs w:val="18"/>
              </w:rPr>
              <w:t>s</w:t>
            </w:r>
            <w:r w:rsidR="00A82CEA">
              <w:rPr>
                <w:rFonts w:ascii="Verdana" w:hAnsi="Verdana" w:cs="Verdana"/>
                <w:sz w:val="18"/>
                <w:szCs w:val="18"/>
              </w:rPr>
              <w:t xml:space="preserve"> (e.g. Allegheny, Cumberland, Dauphin)</w:t>
            </w:r>
          </w:p>
        </w:tc>
      </w:tr>
      <w:tr w:rsidR="000E7148" w:rsidRPr="00CE7A57" w14:paraId="645B2667" w14:textId="12388C76" w:rsidTr="00D801DC">
        <w:trPr>
          <w:trHeight w:val="70"/>
          <w:jc w:val="center"/>
        </w:trPr>
        <w:tc>
          <w:tcPr>
            <w:tcW w:w="1530" w:type="dxa"/>
          </w:tcPr>
          <w:p w14:paraId="1914188C" w14:textId="42469A9F" w:rsidR="000E7148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Pay Scale</w:t>
            </w:r>
          </w:p>
        </w:tc>
        <w:tc>
          <w:tcPr>
            <w:tcW w:w="1350" w:type="dxa"/>
          </w:tcPr>
          <w:p w14:paraId="32FE6450" w14:textId="29A6A8F8" w:rsidR="000E7148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Hire Form</w:t>
            </w:r>
          </w:p>
        </w:tc>
        <w:tc>
          <w:tcPr>
            <w:tcW w:w="1260" w:type="dxa"/>
          </w:tcPr>
          <w:p w14:paraId="7515C70F" w14:textId="23375B9D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1E713F78" w14:textId="64B623F7" w:rsidR="000E7148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the pay scale group assigned to the position.</w:t>
            </w:r>
            <w:r w:rsidR="001544DB">
              <w:rPr>
                <w:rFonts w:ascii="Verdana" w:hAnsi="Verdana" w:cs="Verdana"/>
                <w:sz w:val="18"/>
                <w:szCs w:val="18"/>
              </w:rPr>
              <w:t xml:space="preserve"> The dropdown field 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1544DB">
              <w:rPr>
                <w:rFonts w:ascii="Verdana" w:hAnsi="Verdana" w:cs="Verdana"/>
                <w:sz w:val="18"/>
                <w:szCs w:val="18"/>
              </w:rPr>
              <w:t xml:space="preserve"> a list of pay scale group values (e.g. CO35, ST08, XH99)</w:t>
            </w:r>
          </w:p>
        </w:tc>
      </w:tr>
      <w:tr w:rsidR="000E7148" w:rsidRPr="00CE7A57" w14:paraId="40B9EE43" w14:textId="799CA5B3" w:rsidTr="00D801DC">
        <w:trPr>
          <w:trHeight w:val="70"/>
          <w:jc w:val="center"/>
        </w:trPr>
        <w:tc>
          <w:tcPr>
            <w:tcW w:w="1530" w:type="dxa"/>
          </w:tcPr>
          <w:p w14:paraId="19B2B4EE" w14:textId="0D1D0231" w:rsidR="000E7148" w:rsidRPr="00CE7A57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Barg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Unit</w:t>
            </w:r>
          </w:p>
        </w:tc>
        <w:tc>
          <w:tcPr>
            <w:tcW w:w="1350" w:type="dxa"/>
          </w:tcPr>
          <w:p w14:paraId="12AF9B42" w14:textId="77777777" w:rsidR="000E7148" w:rsidRPr="00CE7A57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2DA95EDE" w14:textId="7C2E5E18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098DAC55" w14:textId="11B9EA15" w:rsidR="000E7148" w:rsidRPr="00CE7A57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the bargaining unit assigned to the position.</w:t>
            </w:r>
            <w:r w:rsidR="00E30AAE">
              <w:rPr>
                <w:rFonts w:ascii="Verdana" w:hAnsi="Verdana" w:cs="Verdana"/>
                <w:sz w:val="18"/>
                <w:szCs w:val="18"/>
              </w:rPr>
              <w:t xml:space="preserve"> The dropdown field 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E30AAE">
              <w:rPr>
                <w:rFonts w:ascii="Verdana" w:hAnsi="Verdana" w:cs="Verdana"/>
                <w:sz w:val="18"/>
                <w:szCs w:val="18"/>
              </w:rPr>
              <w:t xml:space="preserve"> a list of bargaining unit codes (e.g. A1, A2, F4).</w:t>
            </w:r>
          </w:p>
        </w:tc>
      </w:tr>
      <w:tr w:rsidR="000E7148" w:rsidRPr="00CE7A57" w14:paraId="6D31128D" w14:textId="1B18E65D" w:rsidTr="00D801DC">
        <w:trPr>
          <w:trHeight w:val="70"/>
          <w:jc w:val="center"/>
        </w:trPr>
        <w:tc>
          <w:tcPr>
            <w:tcW w:w="1530" w:type="dxa"/>
          </w:tcPr>
          <w:p w14:paraId="3BF9A7A0" w14:textId="628A7CFC" w:rsidR="000E7148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Confidential Indicator</w:t>
            </w:r>
          </w:p>
        </w:tc>
        <w:tc>
          <w:tcPr>
            <w:tcW w:w="1350" w:type="dxa"/>
          </w:tcPr>
          <w:p w14:paraId="73A0718D" w14:textId="4E422286" w:rsidR="000E7148" w:rsidRPr="00CE7A57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584271C4" w14:textId="3C3C9BB6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7FF7CE69" w14:textId="745EE9B6" w:rsidR="000E7148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if the position is designated as confidential.</w:t>
            </w:r>
            <w:r w:rsidR="006E5943">
              <w:rPr>
                <w:rFonts w:ascii="Verdana" w:hAnsi="Verdana" w:cs="Verdana"/>
                <w:sz w:val="18"/>
                <w:szCs w:val="18"/>
              </w:rPr>
              <w:t xml:space="preserve"> The dropdown field includes the value</w:t>
            </w:r>
            <w:r w:rsidR="00E157AB">
              <w:rPr>
                <w:rFonts w:ascii="Verdana" w:hAnsi="Verdana" w:cs="Verdana"/>
                <w:sz w:val="18"/>
                <w:szCs w:val="18"/>
              </w:rPr>
              <w:t>s</w:t>
            </w:r>
            <w:r w:rsidR="001D714D">
              <w:rPr>
                <w:rFonts w:ascii="Verdana" w:hAnsi="Verdana" w:cs="Verdana"/>
                <w:sz w:val="18"/>
                <w:szCs w:val="18"/>
              </w:rPr>
              <w:t xml:space="preserve"> ‘Y’, ‘N’ </w:t>
            </w:r>
            <w:r w:rsidR="00E157AB">
              <w:rPr>
                <w:rFonts w:ascii="Verdana" w:hAnsi="Verdana" w:cs="Verdana"/>
                <w:sz w:val="18"/>
                <w:szCs w:val="18"/>
              </w:rPr>
              <w:t>and</w:t>
            </w:r>
            <w:r w:rsidR="001D714D">
              <w:rPr>
                <w:rFonts w:ascii="Verdana" w:hAnsi="Verdana" w:cs="Verdana"/>
                <w:sz w:val="18"/>
                <w:szCs w:val="18"/>
              </w:rPr>
              <w:t xml:space="preserve"> ‘C’.</w:t>
            </w:r>
          </w:p>
          <w:p w14:paraId="34F34B39" w14:textId="60BCDA2A" w:rsidR="006E5943" w:rsidRDefault="006E5943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‘Y’ – </w:t>
            </w:r>
            <w:r w:rsidR="00370960">
              <w:rPr>
                <w:rFonts w:ascii="Verdana" w:hAnsi="Verdana" w:cs="Verdana"/>
                <w:sz w:val="18"/>
                <w:szCs w:val="18"/>
              </w:rPr>
              <w:t xml:space="preserve">Indicates position is confidential. </w:t>
            </w:r>
          </w:p>
          <w:p w14:paraId="112914B3" w14:textId="63BD18D9" w:rsidR="006E5943" w:rsidRDefault="006E5943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‘N’ – </w:t>
            </w:r>
            <w:r w:rsidR="00370960">
              <w:rPr>
                <w:rFonts w:ascii="Verdana" w:hAnsi="Verdana" w:cs="Verdana"/>
                <w:sz w:val="18"/>
                <w:szCs w:val="18"/>
              </w:rPr>
              <w:t>Indicates position is not confidential.</w:t>
            </w:r>
          </w:p>
          <w:p w14:paraId="254A3B14" w14:textId="33F9DBD0" w:rsidR="006E5943" w:rsidRPr="00CE7A57" w:rsidRDefault="006E5943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‘C’ – </w:t>
            </w:r>
            <w:r w:rsidR="00370960">
              <w:rPr>
                <w:rFonts w:ascii="Verdana" w:hAnsi="Verdana" w:cs="Verdana"/>
                <w:sz w:val="18"/>
                <w:szCs w:val="18"/>
              </w:rPr>
              <w:t>Indicates local government position is confidential. This value should only populate or be selected for local government positions/vacancies.</w:t>
            </w:r>
          </w:p>
        </w:tc>
      </w:tr>
      <w:tr w:rsidR="000E7148" w:rsidRPr="00CE7A57" w14:paraId="14FD2D89" w14:textId="2BC93812" w:rsidTr="00D801DC">
        <w:trPr>
          <w:trHeight w:val="70"/>
          <w:jc w:val="center"/>
        </w:trPr>
        <w:tc>
          <w:tcPr>
            <w:tcW w:w="1530" w:type="dxa"/>
          </w:tcPr>
          <w:p w14:paraId="334FD31B" w14:textId="382FB76D" w:rsidR="000E7148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Dept Code</w:t>
            </w:r>
          </w:p>
        </w:tc>
        <w:tc>
          <w:tcPr>
            <w:tcW w:w="1350" w:type="dxa"/>
          </w:tcPr>
          <w:p w14:paraId="18627A5E" w14:textId="199C97EF" w:rsidR="000E7148" w:rsidRPr="00CE7A57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658FCFE2" w14:textId="4396A5B3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6178E128" w14:textId="4E47A89D" w:rsidR="000E7148" w:rsidRPr="00CE7A57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Indicates the department </w:t>
            </w:r>
            <w:r w:rsidR="00E157AB">
              <w:rPr>
                <w:rFonts w:ascii="Verdana" w:hAnsi="Verdana" w:cs="Verdana"/>
                <w:sz w:val="18"/>
                <w:szCs w:val="18"/>
              </w:rPr>
              <w:t>assignment for the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position.</w:t>
            </w:r>
            <w:r w:rsidR="00E30AAE">
              <w:rPr>
                <w:rFonts w:ascii="Verdana" w:hAnsi="Verdana" w:cs="Verdana"/>
                <w:sz w:val="18"/>
                <w:szCs w:val="18"/>
              </w:rPr>
              <w:t xml:space="preserve"> The dropdown field 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E30AAE">
              <w:rPr>
                <w:rFonts w:ascii="Verdana" w:hAnsi="Verdana" w:cs="Verdana"/>
                <w:sz w:val="18"/>
                <w:szCs w:val="18"/>
              </w:rPr>
              <w:t xml:space="preserve"> a list of department codes (e.g. 10, 10SL, 11, 11SL).</w:t>
            </w:r>
          </w:p>
        </w:tc>
      </w:tr>
      <w:tr w:rsidR="000E7148" w:rsidRPr="00CE7A57" w14:paraId="67A40A0F" w14:textId="75629478" w:rsidTr="00D801DC">
        <w:trPr>
          <w:trHeight w:val="70"/>
          <w:jc w:val="center"/>
        </w:trPr>
        <w:tc>
          <w:tcPr>
            <w:tcW w:w="1530" w:type="dxa"/>
          </w:tcPr>
          <w:p w14:paraId="0EA18D75" w14:textId="27AC59F4" w:rsidR="000E7148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Fair Chance Exemption</w:t>
            </w:r>
          </w:p>
        </w:tc>
        <w:tc>
          <w:tcPr>
            <w:tcW w:w="1350" w:type="dxa"/>
          </w:tcPr>
          <w:p w14:paraId="66BC7A13" w14:textId="0A90D2F4" w:rsidR="000E7148" w:rsidRPr="00CE7A57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47CA71CC" w14:textId="0031242A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Optional</w:t>
            </w:r>
          </w:p>
        </w:tc>
        <w:tc>
          <w:tcPr>
            <w:tcW w:w="5845" w:type="dxa"/>
          </w:tcPr>
          <w:p w14:paraId="61E6B0BC" w14:textId="29416EA2" w:rsidR="000E7148" w:rsidRPr="00CE7A57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if the position is exempt from Fair Chance Hiring policy.</w:t>
            </w:r>
            <w:r w:rsidR="00457FB2">
              <w:rPr>
                <w:rFonts w:ascii="Verdana" w:hAnsi="Verdana" w:cs="Verdana"/>
                <w:sz w:val="18"/>
                <w:szCs w:val="18"/>
              </w:rPr>
              <w:t xml:space="preserve"> The dropdown field includes a list of exemption types (i.e. Statutory or Policy)</w:t>
            </w:r>
          </w:p>
        </w:tc>
      </w:tr>
      <w:tr w:rsidR="000E7148" w:rsidRPr="00CE7A57" w14:paraId="0E0570CE" w14:textId="6A1700EC" w:rsidTr="00D801DC">
        <w:trPr>
          <w:trHeight w:val="70"/>
          <w:jc w:val="center"/>
        </w:trPr>
        <w:tc>
          <w:tcPr>
            <w:tcW w:w="1530" w:type="dxa"/>
          </w:tcPr>
          <w:p w14:paraId="4712ADB4" w14:textId="31B883F1" w:rsidR="000E7148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Pay Scale</w:t>
            </w:r>
          </w:p>
        </w:tc>
        <w:tc>
          <w:tcPr>
            <w:tcW w:w="1350" w:type="dxa"/>
          </w:tcPr>
          <w:p w14:paraId="329EB7FF" w14:textId="0EAA7A03" w:rsidR="000E7148" w:rsidRPr="00CE7A57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0D8F3B95" w14:textId="055F9CD2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0F8B5BC4" w14:textId="0B97F686" w:rsidR="000E7148" w:rsidRPr="00CE7A57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the pay scale group assigned to the position.</w:t>
            </w:r>
            <w:r w:rsidR="00E30AAE">
              <w:rPr>
                <w:rFonts w:ascii="Verdana" w:hAnsi="Verdana" w:cs="Verdana"/>
                <w:sz w:val="18"/>
                <w:szCs w:val="18"/>
              </w:rPr>
              <w:t xml:space="preserve"> The dropdown field include</w:t>
            </w:r>
            <w:r w:rsidR="00A57566">
              <w:rPr>
                <w:rFonts w:ascii="Verdana" w:hAnsi="Verdana" w:cs="Verdana"/>
                <w:sz w:val="18"/>
                <w:szCs w:val="18"/>
              </w:rPr>
              <w:t>s</w:t>
            </w:r>
            <w:r w:rsidR="00E30AAE">
              <w:rPr>
                <w:rFonts w:ascii="Verdana" w:hAnsi="Verdana" w:cs="Verdana"/>
                <w:sz w:val="18"/>
                <w:szCs w:val="18"/>
              </w:rPr>
              <w:t xml:space="preserve"> a list of pay scale group values (e.g. CO35, ST08, XH99)</w:t>
            </w:r>
          </w:p>
        </w:tc>
      </w:tr>
      <w:tr w:rsidR="000E7148" w:rsidRPr="00CE7A57" w14:paraId="71242107" w14:textId="704C359B" w:rsidTr="00D801DC">
        <w:trPr>
          <w:trHeight w:val="70"/>
          <w:jc w:val="center"/>
        </w:trPr>
        <w:tc>
          <w:tcPr>
            <w:tcW w:w="1530" w:type="dxa"/>
          </w:tcPr>
          <w:p w14:paraId="6A16EC66" w14:textId="422FD894" w:rsidR="000E7148" w:rsidRDefault="000E7148" w:rsidP="00CE7673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Type Svc</w:t>
            </w:r>
          </w:p>
        </w:tc>
        <w:tc>
          <w:tcPr>
            <w:tcW w:w="1350" w:type="dxa"/>
          </w:tcPr>
          <w:p w14:paraId="0C77F5FA" w14:textId="409474F7" w:rsidR="000E7148" w:rsidRPr="00CE7A57" w:rsidRDefault="000E7148" w:rsidP="00CE7673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7A57">
              <w:rPr>
                <w:rFonts w:ascii="Verdana" w:hAnsi="Verdana" w:cs="Verdana"/>
                <w:sz w:val="18"/>
                <w:szCs w:val="18"/>
              </w:rPr>
              <w:t>Requisition</w:t>
            </w:r>
          </w:p>
        </w:tc>
        <w:tc>
          <w:tcPr>
            <w:tcW w:w="1260" w:type="dxa"/>
          </w:tcPr>
          <w:p w14:paraId="14CBF463" w14:textId="400FE122" w:rsidR="000E7148" w:rsidRDefault="000E7148" w:rsidP="000E7148">
            <w:pPr>
              <w:spacing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</w:t>
            </w:r>
          </w:p>
        </w:tc>
        <w:tc>
          <w:tcPr>
            <w:tcW w:w="5845" w:type="dxa"/>
          </w:tcPr>
          <w:p w14:paraId="24607F33" w14:textId="77777777" w:rsidR="000E7148" w:rsidRDefault="000E7148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Indicates the service type assigned to the position.</w:t>
            </w:r>
            <w:r w:rsidR="00E157AB">
              <w:rPr>
                <w:rFonts w:ascii="Verdana" w:hAnsi="Verdana" w:cs="Verdana"/>
                <w:sz w:val="18"/>
                <w:szCs w:val="18"/>
              </w:rPr>
              <w:t xml:space="preserve"> The dropdown field includes the values ‘C’, ‘N’, ‘S’ and ‘U’.</w:t>
            </w:r>
          </w:p>
          <w:p w14:paraId="5B64F8D8" w14:textId="77777777" w:rsidR="00E157AB" w:rsidRDefault="00E157AB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‘C’ – Civil Service</w:t>
            </w:r>
          </w:p>
          <w:p w14:paraId="24546BF2" w14:textId="77777777" w:rsidR="00E157AB" w:rsidRDefault="00E157AB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‘N’ – Non-Civil Service</w:t>
            </w:r>
          </w:p>
          <w:p w14:paraId="0E238C60" w14:textId="77777777" w:rsidR="00E157AB" w:rsidRDefault="00E157AB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‘S’ – Senior Management Service (SMS)</w:t>
            </w:r>
          </w:p>
          <w:p w14:paraId="36B17F7C" w14:textId="6AE84FDC" w:rsidR="00E157AB" w:rsidRPr="00CE7A57" w:rsidRDefault="00E157AB" w:rsidP="002C2C05">
            <w:pPr>
              <w:spacing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‘U’ - Unclassified</w:t>
            </w:r>
          </w:p>
        </w:tc>
      </w:tr>
    </w:tbl>
    <w:p w14:paraId="15494311" w14:textId="240DBEEC" w:rsidR="00AB2C6C" w:rsidRDefault="00AB2C6C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E62261F" w14:textId="61F37F66" w:rsidR="00C704A7" w:rsidRDefault="00C0440F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Inactive </w:t>
      </w:r>
      <w:r w:rsidR="00C704A7">
        <w:rPr>
          <w:rFonts w:ascii="Verdana" w:hAnsi="Verdana" w:cs="Verdana"/>
          <w:b/>
          <w:bCs/>
          <w:sz w:val="20"/>
          <w:szCs w:val="20"/>
          <w:u w:val="single"/>
        </w:rPr>
        <w:t>Custom Field</w:t>
      </w:r>
      <w:r>
        <w:rPr>
          <w:rFonts w:ascii="Verdana" w:hAnsi="Verdana" w:cs="Verdana"/>
          <w:b/>
          <w:bCs/>
          <w:sz w:val="20"/>
          <w:szCs w:val="20"/>
          <w:u w:val="single"/>
        </w:rPr>
        <w:t>s</w:t>
      </w:r>
    </w:p>
    <w:p w14:paraId="1F3E068B" w14:textId="07F8A431" w:rsidR="00C704A7" w:rsidRPr="00C0440F" w:rsidRDefault="00C0440F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“Pay Group” field on the requisition and hire form will be inactivated and removed from the position control interface. The field duplicate</w:t>
      </w:r>
      <w:r w:rsidR="008C7C85">
        <w:rPr>
          <w:rFonts w:ascii="Verdana" w:hAnsi="Verdana" w:cs="Verdana"/>
          <w:sz w:val="20"/>
          <w:szCs w:val="20"/>
        </w:rPr>
        <w:t>s information available in</w:t>
      </w:r>
      <w:r>
        <w:rPr>
          <w:rFonts w:ascii="Verdana" w:hAnsi="Verdana" w:cs="Verdana"/>
          <w:sz w:val="20"/>
          <w:szCs w:val="20"/>
        </w:rPr>
        <w:t xml:space="preserve"> the “Pay Scale” field</w:t>
      </w:r>
      <w:r w:rsidR="00026007">
        <w:rPr>
          <w:rFonts w:ascii="Verdana" w:hAnsi="Verdana" w:cs="Verdana"/>
          <w:sz w:val="20"/>
          <w:szCs w:val="20"/>
        </w:rPr>
        <w:t xml:space="preserve"> as it currently populates with </w:t>
      </w:r>
      <w:r w:rsidR="00071B72">
        <w:rPr>
          <w:rFonts w:ascii="Verdana" w:hAnsi="Verdana" w:cs="Verdana"/>
          <w:sz w:val="20"/>
          <w:szCs w:val="20"/>
        </w:rPr>
        <w:t xml:space="preserve">numeric value </w:t>
      </w:r>
      <w:r w:rsidR="00342178">
        <w:rPr>
          <w:rFonts w:ascii="Verdana" w:hAnsi="Verdana" w:cs="Verdana"/>
          <w:sz w:val="20"/>
          <w:szCs w:val="20"/>
        </w:rPr>
        <w:t>(e.g. 5)</w:t>
      </w:r>
      <w:r w:rsidR="00D30DE5">
        <w:rPr>
          <w:rFonts w:ascii="Verdana" w:hAnsi="Verdana" w:cs="Verdana"/>
          <w:sz w:val="20"/>
          <w:szCs w:val="20"/>
        </w:rPr>
        <w:t xml:space="preserve"> </w:t>
      </w:r>
      <w:r w:rsidR="00071B72">
        <w:rPr>
          <w:rFonts w:ascii="Verdana" w:hAnsi="Verdana" w:cs="Verdana"/>
          <w:sz w:val="20"/>
          <w:szCs w:val="20"/>
        </w:rPr>
        <w:t>of the pay scale group</w:t>
      </w:r>
      <w:r w:rsidR="00342178">
        <w:rPr>
          <w:rFonts w:ascii="Verdana" w:hAnsi="Verdana" w:cs="Verdana"/>
          <w:sz w:val="20"/>
          <w:szCs w:val="20"/>
        </w:rPr>
        <w:t>.</w:t>
      </w:r>
    </w:p>
    <w:p w14:paraId="5401F483" w14:textId="77777777" w:rsidR="00C704A7" w:rsidRDefault="00C704A7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F176615" w14:textId="28F16ABE" w:rsidR="004866A3" w:rsidRDefault="004866A3" w:rsidP="001F5C3D">
      <w:pPr>
        <w:spacing w:after="6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Approval Group Name Changes</w:t>
      </w:r>
    </w:p>
    <w:p w14:paraId="35497372" w14:textId="38FF31B3" w:rsidR="004866A3" w:rsidRDefault="004866A3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previous </w:t>
      </w:r>
      <w:r w:rsidR="008A622B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SCSC</w:t>
      </w:r>
      <w:r w:rsidR="008A622B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approval group</w:t>
      </w:r>
      <w:r w:rsidR="00E21D7D">
        <w:rPr>
          <w:rFonts w:ascii="Verdana" w:hAnsi="Verdana" w:cs="Verdana"/>
          <w:sz w:val="20"/>
          <w:szCs w:val="20"/>
        </w:rPr>
        <w:t>s</w:t>
      </w:r>
      <w:r w:rsidR="008A622B">
        <w:rPr>
          <w:rFonts w:ascii="Verdana" w:hAnsi="Verdana" w:cs="Verdana"/>
          <w:sz w:val="20"/>
          <w:szCs w:val="20"/>
        </w:rPr>
        <w:t xml:space="preserve"> </w:t>
      </w:r>
      <w:r w:rsidR="00161F04">
        <w:rPr>
          <w:rFonts w:ascii="Verdana" w:hAnsi="Verdana" w:cs="Verdana"/>
          <w:sz w:val="20"/>
          <w:szCs w:val="20"/>
        </w:rPr>
        <w:t>will be</w:t>
      </w:r>
      <w:r w:rsidR="008A622B">
        <w:rPr>
          <w:rFonts w:ascii="Verdana" w:hAnsi="Verdana" w:cs="Verdana"/>
          <w:sz w:val="20"/>
          <w:szCs w:val="20"/>
        </w:rPr>
        <w:t xml:space="preserve"> renamed to “OA”. There are no changes to agency approval </w:t>
      </w:r>
      <w:proofErr w:type="gramStart"/>
      <w:r w:rsidR="00161F04">
        <w:rPr>
          <w:rFonts w:ascii="Verdana" w:hAnsi="Verdana" w:cs="Verdana"/>
          <w:sz w:val="20"/>
          <w:szCs w:val="20"/>
        </w:rPr>
        <w:t>workflows</w:t>
      </w:r>
      <w:proofErr w:type="gramEnd"/>
      <w:r w:rsidR="008A622B">
        <w:rPr>
          <w:rFonts w:ascii="Verdana" w:hAnsi="Verdana" w:cs="Verdana"/>
          <w:sz w:val="20"/>
          <w:szCs w:val="20"/>
        </w:rPr>
        <w:t xml:space="preserve"> or the approvers associated with the </w:t>
      </w:r>
      <w:r w:rsidR="00161F04">
        <w:rPr>
          <w:rFonts w:ascii="Verdana" w:hAnsi="Verdana" w:cs="Verdana"/>
          <w:sz w:val="20"/>
          <w:szCs w:val="20"/>
        </w:rPr>
        <w:t xml:space="preserve">affected </w:t>
      </w:r>
      <w:r w:rsidR="008A622B">
        <w:rPr>
          <w:rFonts w:ascii="Verdana" w:hAnsi="Verdana" w:cs="Verdana"/>
          <w:sz w:val="20"/>
          <w:szCs w:val="20"/>
        </w:rPr>
        <w:t>approval steps.</w:t>
      </w:r>
    </w:p>
    <w:p w14:paraId="43B73C31" w14:textId="678CED01" w:rsidR="00E21D7D" w:rsidRDefault="00E21D7D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246D2AF6" w14:textId="03407BF8" w:rsidR="00E21D7D" w:rsidRPr="004866A3" w:rsidRDefault="003D00A9" w:rsidP="00B156B5">
      <w:pPr>
        <w:spacing w:after="60"/>
        <w:jc w:val="center"/>
        <w:rPr>
          <w:rFonts w:ascii="Verdana" w:hAnsi="Verdana" w:cs="Verdana"/>
          <w:sz w:val="20"/>
          <w:szCs w:val="20"/>
        </w:rPr>
      </w:pPr>
      <w:r w:rsidRPr="003D00A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BE07E68" wp14:editId="0EAC3793">
            <wp:extent cx="5762625" cy="1757944"/>
            <wp:effectExtent l="19050" t="19050" r="952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211" cy="17626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676CF0" w14:textId="369E9BBF" w:rsidR="003B3809" w:rsidRDefault="003B3809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7DC9CD8B" w14:textId="77777777" w:rsidR="00AB2C6C" w:rsidRPr="00510D78" w:rsidRDefault="00AB2C6C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79C5ACC2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769F9">
            <w:rPr>
              <w:rFonts w:ascii="Verdana" w:hAnsi="Verdana" w:cs="Verdana"/>
              <w:sz w:val="20"/>
              <w:szCs w:val="20"/>
            </w:rPr>
            <w:t>Requisition and Hire Form - Custom Field and Approval Group Changes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4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B9F7" w14:textId="77777777" w:rsidR="004B15B8" w:rsidRDefault="004B15B8">
      <w:r>
        <w:separator/>
      </w:r>
    </w:p>
  </w:endnote>
  <w:endnote w:type="continuationSeparator" w:id="0">
    <w:p w14:paraId="522C5262" w14:textId="77777777" w:rsidR="004B15B8" w:rsidRDefault="004B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8E8A" w14:textId="77777777" w:rsidR="004B15B8" w:rsidRDefault="004B15B8">
      <w:r>
        <w:separator/>
      </w:r>
    </w:p>
  </w:footnote>
  <w:footnote w:type="continuationSeparator" w:id="0">
    <w:p w14:paraId="5B7DD7C9" w14:textId="77777777" w:rsidR="004B15B8" w:rsidRDefault="004B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9E7B" w14:textId="77777777" w:rsidR="00C903F3" w:rsidRDefault="00C903F3" w:rsidP="002D753E">
    <w:pPr>
      <w:pStyle w:val="Header"/>
      <w:tabs>
        <w:tab w:val="clear" w:pos="8640"/>
        <w:tab w:val="right" w:pos="9360"/>
        <w:tab w:val="left" w:pos="9990"/>
      </w:tabs>
      <w:rPr>
        <w:rFonts w:ascii="Verdana" w:hAnsi="Verdana" w:cs="Arial"/>
        <w:b/>
        <w:bCs/>
        <w:sz w:val="28"/>
        <w:szCs w:val="28"/>
      </w:rPr>
    </w:pPr>
  </w:p>
  <w:p w14:paraId="100FA05D" w14:textId="5CE64BB6" w:rsidR="00C903F3" w:rsidRPr="009C625C" w:rsidRDefault="00D30DE5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45EE2">
          <w:rPr>
            <w:rFonts w:ascii="Verdana" w:hAnsi="Verdana" w:cs="Arial"/>
            <w:b/>
            <w:bCs/>
            <w:sz w:val="28"/>
            <w:szCs w:val="28"/>
          </w:rPr>
          <w:t>07</w:t>
        </w:r>
      </w:sdtContent>
    </w:sdt>
  </w:p>
  <w:p w14:paraId="4287D4CB" w14:textId="48605702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6F06D2">
      <w:rPr>
        <w:rFonts w:ascii="Verdana" w:hAnsi="Verdana" w:cs="Arial"/>
        <w:sz w:val="20"/>
        <w:szCs w:val="20"/>
      </w:rPr>
      <w:t>05</w:t>
    </w:r>
    <w:r w:rsidR="00985D11">
      <w:rPr>
        <w:rFonts w:ascii="Verdana" w:hAnsi="Verdana" w:cs="Arial"/>
        <w:sz w:val="20"/>
        <w:szCs w:val="20"/>
      </w:rPr>
      <w:t>.</w:t>
    </w:r>
    <w:r w:rsidR="006F06D2">
      <w:rPr>
        <w:rFonts w:ascii="Verdana" w:hAnsi="Verdana" w:cs="Arial"/>
        <w:sz w:val="20"/>
        <w:szCs w:val="20"/>
      </w:rPr>
      <w:t>2</w:t>
    </w:r>
    <w:r w:rsidR="003F4CD3">
      <w:rPr>
        <w:rFonts w:ascii="Verdana" w:hAnsi="Verdana" w:cs="Arial"/>
        <w:sz w:val="20"/>
        <w:szCs w:val="20"/>
      </w:rPr>
      <w:t>7</w:t>
    </w:r>
    <w:r w:rsidR="00985D11">
      <w:rPr>
        <w:rFonts w:ascii="Verdana" w:hAnsi="Verdana" w:cs="Arial"/>
        <w:sz w:val="20"/>
        <w:szCs w:val="20"/>
      </w:rPr>
      <w:t>.20</w:t>
    </w:r>
    <w:r w:rsidR="00A22BA3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42DB6"/>
    <w:multiLevelType w:val="hybridMultilevel"/>
    <w:tmpl w:val="9CA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E5148B"/>
    <w:multiLevelType w:val="hybridMultilevel"/>
    <w:tmpl w:val="76F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C72348"/>
    <w:multiLevelType w:val="hybridMultilevel"/>
    <w:tmpl w:val="685E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4"/>
  </w:num>
  <w:num w:numId="5">
    <w:abstractNumId w:val="36"/>
  </w:num>
  <w:num w:numId="6">
    <w:abstractNumId w:val="33"/>
  </w:num>
  <w:num w:numId="7">
    <w:abstractNumId w:val="16"/>
  </w:num>
  <w:num w:numId="8">
    <w:abstractNumId w:val="35"/>
  </w:num>
  <w:num w:numId="9">
    <w:abstractNumId w:val="8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28"/>
  </w:num>
  <w:num w:numId="19">
    <w:abstractNumId w:val="40"/>
  </w:num>
  <w:num w:numId="20">
    <w:abstractNumId w:val="1"/>
  </w:num>
  <w:num w:numId="21">
    <w:abstractNumId w:val="5"/>
  </w:num>
  <w:num w:numId="22">
    <w:abstractNumId w:val="22"/>
  </w:num>
  <w:num w:numId="23">
    <w:abstractNumId w:val="3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2"/>
  </w:num>
  <w:num w:numId="27">
    <w:abstractNumId w:val="19"/>
  </w:num>
  <w:num w:numId="28">
    <w:abstractNumId w:val="13"/>
  </w:num>
  <w:num w:numId="29">
    <w:abstractNumId w:val="21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18"/>
  </w:num>
  <w:num w:numId="35">
    <w:abstractNumId w:val="6"/>
  </w:num>
  <w:num w:numId="36">
    <w:abstractNumId w:val="39"/>
  </w:num>
  <w:num w:numId="37">
    <w:abstractNumId w:val="24"/>
  </w:num>
  <w:num w:numId="38">
    <w:abstractNumId w:val="30"/>
  </w:num>
  <w:num w:numId="39">
    <w:abstractNumId w:val="3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00FC2"/>
    <w:rsid w:val="000032DC"/>
    <w:rsid w:val="00003D31"/>
    <w:rsid w:val="00010771"/>
    <w:rsid w:val="00012295"/>
    <w:rsid w:val="000128F7"/>
    <w:rsid w:val="00015F8F"/>
    <w:rsid w:val="00017F5A"/>
    <w:rsid w:val="0002293A"/>
    <w:rsid w:val="00023915"/>
    <w:rsid w:val="00026007"/>
    <w:rsid w:val="0003213D"/>
    <w:rsid w:val="00040FB7"/>
    <w:rsid w:val="00041A44"/>
    <w:rsid w:val="00042258"/>
    <w:rsid w:val="00047832"/>
    <w:rsid w:val="000518DD"/>
    <w:rsid w:val="00054CF9"/>
    <w:rsid w:val="000561E3"/>
    <w:rsid w:val="000677CE"/>
    <w:rsid w:val="00071B72"/>
    <w:rsid w:val="0007299B"/>
    <w:rsid w:val="00091A5E"/>
    <w:rsid w:val="000973C3"/>
    <w:rsid w:val="000A0942"/>
    <w:rsid w:val="000A0B0D"/>
    <w:rsid w:val="000A3C11"/>
    <w:rsid w:val="000B24CB"/>
    <w:rsid w:val="000C1807"/>
    <w:rsid w:val="000C6543"/>
    <w:rsid w:val="000D0871"/>
    <w:rsid w:val="000D1069"/>
    <w:rsid w:val="000D3337"/>
    <w:rsid w:val="000D78CE"/>
    <w:rsid w:val="000E28F3"/>
    <w:rsid w:val="000E4D76"/>
    <w:rsid w:val="000E559E"/>
    <w:rsid w:val="000E7148"/>
    <w:rsid w:val="000F10B3"/>
    <w:rsid w:val="00103FDC"/>
    <w:rsid w:val="0010609C"/>
    <w:rsid w:val="00106466"/>
    <w:rsid w:val="001113ED"/>
    <w:rsid w:val="0011336B"/>
    <w:rsid w:val="00116A3A"/>
    <w:rsid w:val="00122E0F"/>
    <w:rsid w:val="00123562"/>
    <w:rsid w:val="001247CB"/>
    <w:rsid w:val="00126C7D"/>
    <w:rsid w:val="00130011"/>
    <w:rsid w:val="001332B4"/>
    <w:rsid w:val="00135131"/>
    <w:rsid w:val="00142029"/>
    <w:rsid w:val="001544DB"/>
    <w:rsid w:val="001601FB"/>
    <w:rsid w:val="00160FAD"/>
    <w:rsid w:val="00161F04"/>
    <w:rsid w:val="00163F86"/>
    <w:rsid w:val="00170294"/>
    <w:rsid w:val="0017351C"/>
    <w:rsid w:val="00175C94"/>
    <w:rsid w:val="00176CD7"/>
    <w:rsid w:val="0018311E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B7D5B"/>
    <w:rsid w:val="001C41D8"/>
    <w:rsid w:val="001C7E2D"/>
    <w:rsid w:val="001D27AD"/>
    <w:rsid w:val="001D6ABF"/>
    <w:rsid w:val="001D714D"/>
    <w:rsid w:val="001E0152"/>
    <w:rsid w:val="001E3077"/>
    <w:rsid w:val="001E351E"/>
    <w:rsid w:val="001E41C8"/>
    <w:rsid w:val="001E5838"/>
    <w:rsid w:val="001F0007"/>
    <w:rsid w:val="001F2ACA"/>
    <w:rsid w:val="001F2FC8"/>
    <w:rsid w:val="001F3743"/>
    <w:rsid w:val="001F5C3D"/>
    <w:rsid w:val="001F7AB6"/>
    <w:rsid w:val="0020390D"/>
    <w:rsid w:val="00204AB0"/>
    <w:rsid w:val="002132AC"/>
    <w:rsid w:val="00222BDA"/>
    <w:rsid w:val="00224B5D"/>
    <w:rsid w:val="002277C4"/>
    <w:rsid w:val="00230B88"/>
    <w:rsid w:val="0023252F"/>
    <w:rsid w:val="0023367F"/>
    <w:rsid w:val="002336DC"/>
    <w:rsid w:val="00235A24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2C05"/>
    <w:rsid w:val="002C5365"/>
    <w:rsid w:val="002C75E6"/>
    <w:rsid w:val="002D05F5"/>
    <w:rsid w:val="002D5FEF"/>
    <w:rsid w:val="002D6EE0"/>
    <w:rsid w:val="002D753E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5C4E"/>
    <w:rsid w:val="00307692"/>
    <w:rsid w:val="0031278B"/>
    <w:rsid w:val="00313437"/>
    <w:rsid w:val="00315AC7"/>
    <w:rsid w:val="00320821"/>
    <w:rsid w:val="00324421"/>
    <w:rsid w:val="003268CB"/>
    <w:rsid w:val="00342178"/>
    <w:rsid w:val="0035262C"/>
    <w:rsid w:val="00352714"/>
    <w:rsid w:val="00354FA8"/>
    <w:rsid w:val="003561E2"/>
    <w:rsid w:val="0036175D"/>
    <w:rsid w:val="0036325B"/>
    <w:rsid w:val="00363E80"/>
    <w:rsid w:val="00366E3C"/>
    <w:rsid w:val="00370960"/>
    <w:rsid w:val="003769F9"/>
    <w:rsid w:val="00377242"/>
    <w:rsid w:val="00377EB4"/>
    <w:rsid w:val="00387972"/>
    <w:rsid w:val="00396A0F"/>
    <w:rsid w:val="003A3B9F"/>
    <w:rsid w:val="003B06B6"/>
    <w:rsid w:val="003B17DC"/>
    <w:rsid w:val="003B3809"/>
    <w:rsid w:val="003C059B"/>
    <w:rsid w:val="003C475F"/>
    <w:rsid w:val="003D00A9"/>
    <w:rsid w:val="003D0861"/>
    <w:rsid w:val="003D3C16"/>
    <w:rsid w:val="003E2199"/>
    <w:rsid w:val="003F1703"/>
    <w:rsid w:val="003F28EF"/>
    <w:rsid w:val="003F45B6"/>
    <w:rsid w:val="003F4CD3"/>
    <w:rsid w:val="003F7304"/>
    <w:rsid w:val="00400CE7"/>
    <w:rsid w:val="00406094"/>
    <w:rsid w:val="00412D1B"/>
    <w:rsid w:val="004144FE"/>
    <w:rsid w:val="004231E8"/>
    <w:rsid w:val="00430AC7"/>
    <w:rsid w:val="00431645"/>
    <w:rsid w:val="0043167E"/>
    <w:rsid w:val="00436DC5"/>
    <w:rsid w:val="00452865"/>
    <w:rsid w:val="00454FFD"/>
    <w:rsid w:val="00455148"/>
    <w:rsid w:val="004566AE"/>
    <w:rsid w:val="00457FB2"/>
    <w:rsid w:val="00464D56"/>
    <w:rsid w:val="00465F51"/>
    <w:rsid w:val="00470049"/>
    <w:rsid w:val="00472D0E"/>
    <w:rsid w:val="00473681"/>
    <w:rsid w:val="00474719"/>
    <w:rsid w:val="00477BB0"/>
    <w:rsid w:val="004821A6"/>
    <w:rsid w:val="004827A5"/>
    <w:rsid w:val="004866A3"/>
    <w:rsid w:val="0048680C"/>
    <w:rsid w:val="00487520"/>
    <w:rsid w:val="00487CCC"/>
    <w:rsid w:val="004952E6"/>
    <w:rsid w:val="004968DE"/>
    <w:rsid w:val="004A037D"/>
    <w:rsid w:val="004B0360"/>
    <w:rsid w:val="004B15B8"/>
    <w:rsid w:val="004B5473"/>
    <w:rsid w:val="004C157A"/>
    <w:rsid w:val="004C237C"/>
    <w:rsid w:val="004D0398"/>
    <w:rsid w:val="004D2081"/>
    <w:rsid w:val="004D2804"/>
    <w:rsid w:val="004D7524"/>
    <w:rsid w:val="004E0010"/>
    <w:rsid w:val="004E1A78"/>
    <w:rsid w:val="004F2877"/>
    <w:rsid w:val="004F52F4"/>
    <w:rsid w:val="004F6692"/>
    <w:rsid w:val="004F674A"/>
    <w:rsid w:val="00502AB3"/>
    <w:rsid w:val="0050514C"/>
    <w:rsid w:val="00510D78"/>
    <w:rsid w:val="00512A87"/>
    <w:rsid w:val="00515DAE"/>
    <w:rsid w:val="005165ED"/>
    <w:rsid w:val="00517E5B"/>
    <w:rsid w:val="005255D9"/>
    <w:rsid w:val="00525B66"/>
    <w:rsid w:val="00526D94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1BAB"/>
    <w:rsid w:val="0055410F"/>
    <w:rsid w:val="0055556B"/>
    <w:rsid w:val="00557B92"/>
    <w:rsid w:val="00561A01"/>
    <w:rsid w:val="00561F4C"/>
    <w:rsid w:val="00563BD8"/>
    <w:rsid w:val="00566E36"/>
    <w:rsid w:val="005729A8"/>
    <w:rsid w:val="005754FC"/>
    <w:rsid w:val="00575F1A"/>
    <w:rsid w:val="00581953"/>
    <w:rsid w:val="00583DE9"/>
    <w:rsid w:val="00586DD4"/>
    <w:rsid w:val="00587660"/>
    <w:rsid w:val="00591815"/>
    <w:rsid w:val="005934E1"/>
    <w:rsid w:val="005938A1"/>
    <w:rsid w:val="00594810"/>
    <w:rsid w:val="005A73E9"/>
    <w:rsid w:val="005B3F9C"/>
    <w:rsid w:val="005B72C3"/>
    <w:rsid w:val="005C0E77"/>
    <w:rsid w:val="005C53D0"/>
    <w:rsid w:val="005C6E26"/>
    <w:rsid w:val="005C73F5"/>
    <w:rsid w:val="005D2FC0"/>
    <w:rsid w:val="005D45D6"/>
    <w:rsid w:val="005E250D"/>
    <w:rsid w:val="005E5A3F"/>
    <w:rsid w:val="005F58F0"/>
    <w:rsid w:val="005F6C66"/>
    <w:rsid w:val="0060042E"/>
    <w:rsid w:val="00600D98"/>
    <w:rsid w:val="00602857"/>
    <w:rsid w:val="00605159"/>
    <w:rsid w:val="00611055"/>
    <w:rsid w:val="0061211C"/>
    <w:rsid w:val="00614273"/>
    <w:rsid w:val="00615751"/>
    <w:rsid w:val="00621D12"/>
    <w:rsid w:val="00624603"/>
    <w:rsid w:val="006268A7"/>
    <w:rsid w:val="0063058E"/>
    <w:rsid w:val="0063145F"/>
    <w:rsid w:val="0063484A"/>
    <w:rsid w:val="00636411"/>
    <w:rsid w:val="00641AEC"/>
    <w:rsid w:val="0064269C"/>
    <w:rsid w:val="0064292C"/>
    <w:rsid w:val="0064330E"/>
    <w:rsid w:val="00645EE2"/>
    <w:rsid w:val="00653A73"/>
    <w:rsid w:val="00653D44"/>
    <w:rsid w:val="006540DC"/>
    <w:rsid w:val="00655AA4"/>
    <w:rsid w:val="0065736A"/>
    <w:rsid w:val="00661530"/>
    <w:rsid w:val="00665041"/>
    <w:rsid w:val="00666153"/>
    <w:rsid w:val="00667C78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B6C5E"/>
    <w:rsid w:val="006C05AB"/>
    <w:rsid w:val="006C0CD3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E5943"/>
    <w:rsid w:val="006F06D2"/>
    <w:rsid w:val="006F085B"/>
    <w:rsid w:val="006F7B2C"/>
    <w:rsid w:val="007008F5"/>
    <w:rsid w:val="007025D1"/>
    <w:rsid w:val="00713EAA"/>
    <w:rsid w:val="007142A8"/>
    <w:rsid w:val="00720E2C"/>
    <w:rsid w:val="00725A65"/>
    <w:rsid w:val="00726A54"/>
    <w:rsid w:val="00731FC9"/>
    <w:rsid w:val="00740D43"/>
    <w:rsid w:val="00751B47"/>
    <w:rsid w:val="00751FA0"/>
    <w:rsid w:val="00755125"/>
    <w:rsid w:val="00760A85"/>
    <w:rsid w:val="00761E16"/>
    <w:rsid w:val="00762D62"/>
    <w:rsid w:val="007647C4"/>
    <w:rsid w:val="00765CC9"/>
    <w:rsid w:val="0077618F"/>
    <w:rsid w:val="00777B23"/>
    <w:rsid w:val="007803F8"/>
    <w:rsid w:val="00781D8D"/>
    <w:rsid w:val="007830BC"/>
    <w:rsid w:val="00784E03"/>
    <w:rsid w:val="00792831"/>
    <w:rsid w:val="007A36B5"/>
    <w:rsid w:val="007A4A1D"/>
    <w:rsid w:val="007A6D33"/>
    <w:rsid w:val="007B1C44"/>
    <w:rsid w:val="007B23C1"/>
    <w:rsid w:val="007B4243"/>
    <w:rsid w:val="007B4FF2"/>
    <w:rsid w:val="007B612B"/>
    <w:rsid w:val="007C12A7"/>
    <w:rsid w:val="007C4534"/>
    <w:rsid w:val="007C7B7B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6EE6"/>
    <w:rsid w:val="00807036"/>
    <w:rsid w:val="0081300B"/>
    <w:rsid w:val="008247D9"/>
    <w:rsid w:val="00825AB0"/>
    <w:rsid w:val="00825BAC"/>
    <w:rsid w:val="008333AC"/>
    <w:rsid w:val="00834767"/>
    <w:rsid w:val="00837988"/>
    <w:rsid w:val="0084492A"/>
    <w:rsid w:val="00850DCA"/>
    <w:rsid w:val="00852857"/>
    <w:rsid w:val="00854632"/>
    <w:rsid w:val="00856BC0"/>
    <w:rsid w:val="00857868"/>
    <w:rsid w:val="00861ECF"/>
    <w:rsid w:val="00865E95"/>
    <w:rsid w:val="00873BEF"/>
    <w:rsid w:val="00875301"/>
    <w:rsid w:val="00884785"/>
    <w:rsid w:val="00891467"/>
    <w:rsid w:val="00892D7C"/>
    <w:rsid w:val="008947AD"/>
    <w:rsid w:val="008A4E89"/>
    <w:rsid w:val="008A622B"/>
    <w:rsid w:val="008B477C"/>
    <w:rsid w:val="008B5463"/>
    <w:rsid w:val="008C4BE3"/>
    <w:rsid w:val="008C7216"/>
    <w:rsid w:val="008C74DA"/>
    <w:rsid w:val="008C7C85"/>
    <w:rsid w:val="008D04D2"/>
    <w:rsid w:val="008D4117"/>
    <w:rsid w:val="008D7296"/>
    <w:rsid w:val="008E042F"/>
    <w:rsid w:val="008E61F8"/>
    <w:rsid w:val="008F19B8"/>
    <w:rsid w:val="008F279D"/>
    <w:rsid w:val="008F3364"/>
    <w:rsid w:val="008F61D5"/>
    <w:rsid w:val="008F71C2"/>
    <w:rsid w:val="00900FC9"/>
    <w:rsid w:val="009013EC"/>
    <w:rsid w:val="009045FA"/>
    <w:rsid w:val="00911E3D"/>
    <w:rsid w:val="009122BA"/>
    <w:rsid w:val="0091296E"/>
    <w:rsid w:val="00914BF3"/>
    <w:rsid w:val="00920CF8"/>
    <w:rsid w:val="00922F9A"/>
    <w:rsid w:val="009254B2"/>
    <w:rsid w:val="00925D4C"/>
    <w:rsid w:val="0093166F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7700"/>
    <w:rsid w:val="009B0DB1"/>
    <w:rsid w:val="009B44FD"/>
    <w:rsid w:val="009B7707"/>
    <w:rsid w:val="009C02E0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3A58"/>
    <w:rsid w:val="009E5F95"/>
    <w:rsid w:val="009F2FD8"/>
    <w:rsid w:val="009F3B46"/>
    <w:rsid w:val="00A01D78"/>
    <w:rsid w:val="00A02700"/>
    <w:rsid w:val="00A029E4"/>
    <w:rsid w:val="00A11750"/>
    <w:rsid w:val="00A1324D"/>
    <w:rsid w:val="00A16566"/>
    <w:rsid w:val="00A17DBF"/>
    <w:rsid w:val="00A20476"/>
    <w:rsid w:val="00A20528"/>
    <w:rsid w:val="00A22BA3"/>
    <w:rsid w:val="00A236EC"/>
    <w:rsid w:val="00A256E4"/>
    <w:rsid w:val="00A27FE7"/>
    <w:rsid w:val="00A35F2E"/>
    <w:rsid w:val="00A40CFE"/>
    <w:rsid w:val="00A416A3"/>
    <w:rsid w:val="00A43D87"/>
    <w:rsid w:val="00A43E3F"/>
    <w:rsid w:val="00A43F2B"/>
    <w:rsid w:val="00A44155"/>
    <w:rsid w:val="00A57566"/>
    <w:rsid w:val="00A64350"/>
    <w:rsid w:val="00A82449"/>
    <w:rsid w:val="00A82CEA"/>
    <w:rsid w:val="00A85CEE"/>
    <w:rsid w:val="00A92752"/>
    <w:rsid w:val="00A9361B"/>
    <w:rsid w:val="00A9430B"/>
    <w:rsid w:val="00A97DD4"/>
    <w:rsid w:val="00AA0417"/>
    <w:rsid w:val="00AA09D9"/>
    <w:rsid w:val="00AA2E30"/>
    <w:rsid w:val="00AA4B7F"/>
    <w:rsid w:val="00AB2C6C"/>
    <w:rsid w:val="00AB7356"/>
    <w:rsid w:val="00AC4B6F"/>
    <w:rsid w:val="00AC5DA2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70F3"/>
    <w:rsid w:val="00B14D8D"/>
    <w:rsid w:val="00B156B5"/>
    <w:rsid w:val="00B1616D"/>
    <w:rsid w:val="00B20ABD"/>
    <w:rsid w:val="00B23E17"/>
    <w:rsid w:val="00B25E4E"/>
    <w:rsid w:val="00B2631A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6617"/>
    <w:rsid w:val="00B57E09"/>
    <w:rsid w:val="00B653EB"/>
    <w:rsid w:val="00B70151"/>
    <w:rsid w:val="00B72ADF"/>
    <w:rsid w:val="00B746C6"/>
    <w:rsid w:val="00B84B15"/>
    <w:rsid w:val="00B84C2D"/>
    <w:rsid w:val="00B84E03"/>
    <w:rsid w:val="00B85152"/>
    <w:rsid w:val="00B85D56"/>
    <w:rsid w:val="00B9185C"/>
    <w:rsid w:val="00BA1B41"/>
    <w:rsid w:val="00BA300F"/>
    <w:rsid w:val="00BA623A"/>
    <w:rsid w:val="00BB1A33"/>
    <w:rsid w:val="00BB4096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3FEB"/>
    <w:rsid w:val="00BE5A9B"/>
    <w:rsid w:val="00BF2BD0"/>
    <w:rsid w:val="00BF47D0"/>
    <w:rsid w:val="00BF7E99"/>
    <w:rsid w:val="00C014F1"/>
    <w:rsid w:val="00C0440F"/>
    <w:rsid w:val="00C0693F"/>
    <w:rsid w:val="00C0789A"/>
    <w:rsid w:val="00C13502"/>
    <w:rsid w:val="00C151E8"/>
    <w:rsid w:val="00C16CD2"/>
    <w:rsid w:val="00C21199"/>
    <w:rsid w:val="00C22173"/>
    <w:rsid w:val="00C23349"/>
    <w:rsid w:val="00C24C6C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5238"/>
    <w:rsid w:val="00C5622D"/>
    <w:rsid w:val="00C56AB6"/>
    <w:rsid w:val="00C60557"/>
    <w:rsid w:val="00C62637"/>
    <w:rsid w:val="00C6531C"/>
    <w:rsid w:val="00C704A7"/>
    <w:rsid w:val="00C75723"/>
    <w:rsid w:val="00C75B10"/>
    <w:rsid w:val="00C7709E"/>
    <w:rsid w:val="00C87240"/>
    <w:rsid w:val="00C8765C"/>
    <w:rsid w:val="00C9010D"/>
    <w:rsid w:val="00C903F3"/>
    <w:rsid w:val="00C9280E"/>
    <w:rsid w:val="00C9285D"/>
    <w:rsid w:val="00C928E2"/>
    <w:rsid w:val="00C95A6C"/>
    <w:rsid w:val="00C977C2"/>
    <w:rsid w:val="00CA404B"/>
    <w:rsid w:val="00CA5DA0"/>
    <w:rsid w:val="00CB221F"/>
    <w:rsid w:val="00CC022A"/>
    <w:rsid w:val="00CC111D"/>
    <w:rsid w:val="00CC5230"/>
    <w:rsid w:val="00CC7118"/>
    <w:rsid w:val="00CD4901"/>
    <w:rsid w:val="00CD6CB5"/>
    <w:rsid w:val="00CE07D7"/>
    <w:rsid w:val="00CE7673"/>
    <w:rsid w:val="00CE7A57"/>
    <w:rsid w:val="00CF6036"/>
    <w:rsid w:val="00CF693C"/>
    <w:rsid w:val="00D02682"/>
    <w:rsid w:val="00D0686C"/>
    <w:rsid w:val="00D10F71"/>
    <w:rsid w:val="00D15818"/>
    <w:rsid w:val="00D16C5E"/>
    <w:rsid w:val="00D2172A"/>
    <w:rsid w:val="00D2365B"/>
    <w:rsid w:val="00D238F2"/>
    <w:rsid w:val="00D30DE5"/>
    <w:rsid w:val="00D31F60"/>
    <w:rsid w:val="00D32413"/>
    <w:rsid w:val="00D357EF"/>
    <w:rsid w:val="00D36E07"/>
    <w:rsid w:val="00D379AB"/>
    <w:rsid w:val="00D45D44"/>
    <w:rsid w:val="00D50E92"/>
    <w:rsid w:val="00D51A57"/>
    <w:rsid w:val="00D51CB6"/>
    <w:rsid w:val="00D52A6A"/>
    <w:rsid w:val="00D52F2E"/>
    <w:rsid w:val="00D55158"/>
    <w:rsid w:val="00D6503F"/>
    <w:rsid w:val="00D65896"/>
    <w:rsid w:val="00D74829"/>
    <w:rsid w:val="00D77618"/>
    <w:rsid w:val="00D801DC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A7326"/>
    <w:rsid w:val="00DB19C5"/>
    <w:rsid w:val="00DB307D"/>
    <w:rsid w:val="00DB53B0"/>
    <w:rsid w:val="00DB5A17"/>
    <w:rsid w:val="00DC0838"/>
    <w:rsid w:val="00DC44EA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7AB"/>
    <w:rsid w:val="00E15CDB"/>
    <w:rsid w:val="00E15F7F"/>
    <w:rsid w:val="00E16248"/>
    <w:rsid w:val="00E17911"/>
    <w:rsid w:val="00E20BAB"/>
    <w:rsid w:val="00E21D7D"/>
    <w:rsid w:val="00E23AD5"/>
    <w:rsid w:val="00E27E23"/>
    <w:rsid w:val="00E30AAE"/>
    <w:rsid w:val="00E4283D"/>
    <w:rsid w:val="00E42C77"/>
    <w:rsid w:val="00E44989"/>
    <w:rsid w:val="00E44A9D"/>
    <w:rsid w:val="00E45772"/>
    <w:rsid w:val="00E4597C"/>
    <w:rsid w:val="00E47563"/>
    <w:rsid w:val="00E47F8A"/>
    <w:rsid w:val="00E55166"/>
    <w:rsid w:val="00E56507"/>
    <w:rsid w:val="00E6374D"/>
    <w:rsid w:val="00E66169"/>
    <w:rsid w:val="00E7139F"/>
    <w:rsid w:val="00E716E1"/>
    <w:rsid w:val="00E75503"/>
    <w:rsid w:val="00E76AFF"/>
    <w:rsid w:val="00E76D5A"/>
    <w:rsid w:val="00E800B7"/>
    <w:rsid w:val="00E91151"/>
    <w:rsid w:val="00E91647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E434A"/>
    <w:rsid w:val="00EF7C88"/>
    <w:rsid w:val="00F007DB"/>
    <w:rsid w:val="00F0332C"/>
    <w:rsid w:val="00F07E63"/>
    <w:rsid w:val="00F1467A"/>
    <w:rsid w:val="00F15489"/>
    <w:rsid w:val="00F22310"/>
    <w:rsid w:val="00F259A1"/>
    <w:rsid w:val="00F31B2E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87D23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188E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iss.state.pa.us/HR-Pay_Help_Desk/Login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2F3C37"/>
    <w:rsid w:val="003323C4"/>
    <w:rsid w:val="00375E6A"/>
    <w:rsid w:val="006176C0"/>
    <w:rsid w:val="00776CC7"/>
    <w:rsid w:val="00875D82"/>
    <w:rsid w:val="00A7140F"/>
    <w:rsid w:val="00AA2DDE"/>
    <w:rsid w:val="00AE1A6A"/>
    <w:rsid w:val="00BA49F5"/>
    <w:rsid w:val="00DC5DEA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9F5"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  <w:style w:type="paragraph" w:customStyle="1" w:styleId="F55100178A3B40F5B94E8492C2793D8E">
    <w:name w:val="F55100178A3B40F5B94E8492C2793D8E"/>
    <w:rsid w:val="00BA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707E8-1BD1-46B7-BAE3-051567AE2E42}"/>
</file>

<file path=customXml/itemProps4.xml><?xml version="1.0" encoding="utf-8"?>
<ds:datastoreItem xmlns:ds="http://schemas.openxmlformats.org/officeDocument/2006/customXml" ds:itemID="{C73B4CE9-46D1-40CB-8BB2-529FB5FF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and Hire Form - Custom Field and Approval Group Changes</vt:lpstr>
    </vt:vector>
  </TitlesOfParts>
  <Company>Office of Administration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and Hire Form - Custom Field and Approval Group Changes</dc:title>
  <dc:subject>Information regarding changes to custom fields and approval group names on requisition and hire forms.</dc:subject>
  <dc:creator>Rummel, Jordan</dc:creator>
  <cp:keywords>Description, Keywords, Operations, Personnel Administration</cp:keywords>
  <dc:description/>
  <cp:lastModifiedBy>Rummel, Jordan</cp:lastModifiedBy>
  <cp:revision>12</cp:revision>
  <cp:lastPrinted>2011-02-25T13:44:00Z</cp:lastPrinted>
  <dcterms:created xsi:type="dcterms:W3CDTF">2020-05-22T13:24:00Z</dcterms:created>
  <dcterms:modified xsi:type="dcterms:W3CDTF">2020-05-27T12:10:00Z</dcterms:modified>
  <cp:category>Talent Acquisition Alert</cp:category>
  <cp:contentStatus>2020-07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