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266A41C2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462E76">
        <w:rPr>
          <w:rFonts w:ascii="Verdana" w:eastAsia="Verdana" w:hAnsi="Verdana" w:cs="Verdana"/>
          <w:i/>
          <w:iCs/>
          <w:sz w:val="20"/>
          <w:szCs w:val="20"/>
        </w:rPr>
        <w:t>FMLA Administration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6C3976A2" w14:textId="4169BE20" w:rsidR="00C57F7A" w:rsidRDefault="00462E76" w:rsidP="3DE9AD8F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FMLA </w:t>
      </w:r>
      <w:r w:rsidR="005B72E2">
        <w:rPr>
          <w:rFonts w:ascii="Verdana" w:hAnsi="Verdana" w:cs="Verdana"/>
          <w:b/>
          <w:bCs/>
          <w:iCs/>
          <w:sz w:val="20"/>
          <w:szCs w:val="20"/>
        </w:rPr>
        <w:t xml:space="preserve">Reporting 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Time Type 5151 </w:t>
      </w:r>
      <w:r w:rsidR="00D11D1E">
        <w:rPr>
          <w:rFonts w:ascii="Verdana" w:hAnsi="Verdana" w:cs="Verdana"/>
          <w:b/>
          <w:bCs/>
          <w:iCs/>
          <w:sz w:val="20"/>
          <w:szCs w:val="20"/>
        </w:rPr>
        <w:t xml:space="preserve">(FMLA Abs Hrs Taken) </w:t>
      </w:r>
      <w:r>
        <w:rPr>
          <w:rFonts w:ascii="Verdana" w:hAnsi="Verdana" w:cs="Verdana"/>
          <w:b/>
          <w:bCs/>
          <w:iCs/>
          <w:sz w:val="20"/>
          <w:szCs w:val="20"/>
        </w:rPr>
        <w:t>Updated to</w:t>
      </w:r>
      <w:r w:rsidR="001A329F">
        <w:rPr>
          <w:rFonts w:ascii="Verdana" w:hAnsi="Verdana" w:cs="Verdana"/>
          <w:b/>
          <w:bCs/>
          <w:iCs/>
          <w:sz w:val="20"/>
          <w:szCs w:val="20"/>
        </w:rPr>
        <w:t xml:space="preserve"> Include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ECC Absence Type and </w:t>
      </w:r>
      <w:r w:rsidR="00D11D1E">
        <w:rPr>
          <w:rFonts w:ascii="Verdana" w:hAnsi="Verdana" w:cs="Verdana"/>
          <w:b/>
          <w:bCs/>
          <w:iCs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iCs/>
          <w:sz w:val="20"/>
          <w:szCs w:val="20"/>
        </w:rPr>
        <w:t>Remove WRI Absence Types</w:t>
      </w:r>
    </w:p>
    <w:p w14:paraId="579690B2" w14:textId="77777777" w:rsidR="00462E76" w:rsidRPr="00C57F7A" w:rsidRDefault="00462E76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065B13E" w14:textId="60098A58" w:rsidR="00911AD1" w:rsidRDefault="00C57F7A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72C4E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462E76">
        <w:rPr>
          <w:rFonts w:ascii="Verdana" w:eastAsia="Verdana" w:hAnsi="Verdana" w:cs="Verdana"/>
          <w:sz w:val="20"/>
          <w:szCs w:val="20"/>
        </w:rPr>
        <w:t xml:space="preserve">an update to the FMLA </w:t>
      </w:r>
      <w:r w:rsidR="005B72E2">
        <w:rPr>
          <w:rFonts w:ascii="Verdana" w:eastAsia="Verdana" w:hAnsi="Verdana" w:cs="Verdana"/>
          <w:sz w:val="20"/>
          <w:szCs w:val="20"/>
        </w:rPr>
        <w:t>Reporting Time Type 5151</w:t>
      </w:r>
      <w:r w:rsidR="00462E76">
        <w:rPr>
          <w:rFonts w:ascii="Verdana" w:eastAsia="Verdana" w:hAnsi="Verdana" w:cs="Verdana"/>
          <w:sz w:val="20"/>
          <w:szCs w:val="20"/>
        </w:rPr>
        <w:t xml:space="preserve"> to</w:t>
      </w:r>
      <w:r w:rsidR="001A329F">
        <w:rPr>
          <w:rFonts w:ascii="Verdana" w:eastAsia="Verdana" w:hAnsi="Verdana" w:cs="Verdana"/>
          <w:sz w:val="20"/>
          <w:szCs w:val="20"/>
        </w:rPr>
        <w:t xml:space="preserve"> include </w:t>
      </w:r>
      <w:r w:rsidR="005B72E2">
        <w:rPr>
          <w:rFonts w:ascii="Verdana" w:eastAsia="Verdana" w:hAnsi="Verdana" w:cs="Verdana"/>
          <w:sz w:val="20"/>
          <w:szCs w:val="20"/>
        </w:rPr>
        <w:t xml:space="preserve">ECC Absence Type and </w:t>
      </w:r>
      <w:r w:rsidR="00D11D1E">
        <w:rPr>
          <w:rFonts w:ascii="Verdana" w:eastAsia="Verdana" w:hAnsi="Verdana" w:cs="Verdana"/>
          <w:sz w:val="20"/>
          <w:szCs w:val="20"/>
        </w:rPr>
        <w:t xml:space="preserve">to </w:t>
      </w:r>
      <w:r w:rsidR="005B72E2">
        <w:rPr>
          <w:rFonts w:ascii="Verdana" w:eastAsia="Verdana" w:hAnsi="Verdana" w:cs="Verdana"/>
          <w:sz w:val="20"/>
          <w:szCs w:val="20"/>
        </w:rPr>
        <w:t>Remove WRI Absence Types</w:t>
      </w:r>
    </w:p>
    <w:p w14:paraId="531B7BD3" w14:textId="5C252EBB" w:rsidR="009B72AF" w:rsidRDefault="009B72AF" w:rsidP="009B72AF">
      <w:pPr>
        <w:rPr>
          <w:rFonts w:ascii="Verdana" w:eastAsia="Verdana" w:hAnsi="Verdana" w:cs="Verdana"/>
          <w:sz w:val="20"/>
          <w:szCs w:val="20"/>
        </w:rPr>
      </w:pPr>
    </w:p>
    <w:p w14:paraId="05F075BB" w14:textId="12476202" w:rsidR="00BA454C" w:rsidRDefault="00B227AF" w:rsidP="00462E7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Time Type 5151, </w:t>
      </w:r>
      <w:r w:rsidR="009E40F0">
        <w:rPr>
          <w:rFonts w:ascii="Verdana" w:hAnsi="Verdana" w:cs="Verdana"/>
          <w:sz w:val="20"/>
          <w:szCs w:val="20"/>
        </w:rPr>
        <w:t>FMLA Absence Hours Taken (</w:t>
      </w:r>
      <w:r w:rsidR="00907C58" w:rsidRPr="00907C58">
        <w:rPr>
          <w:rFonts w:ascii="Verdana" w:hAnsi="Verdana" w:cs="Verdana"/>
          <w:i/>
          <w:iCs/>
          <w:sz w:val="20"/>
          <w:szCs w:val="20"/>
        </w:rPr>
        <w:t>FMLA Abs Hrs Taken</w:t>
      </w:r>
      <w:r w:rsidR="009E40F0">
        <w:rPr>
          <w:rFonts w:ascii="Verdana" w:hAnsi="Verdana" w:cs="Verdana"/>
          <w:i/>
          <w:iCs/>
          <w:sz w:val="20"/>
          <w:szCs w:val="20"/>
        </w:rPr>
        <w:t>)</w:t>
      </w:r>
      <w:r w:rsidR="00E911BA">
        <w:rPr>
          <w:rFonts w:ascii="Verdana" w:hAnsi="Verdana" w:cs="Verdana"/>
          <w:sz w:val="20"/>
          <w:szCs w:val="20"/>
        </w:rPr>
        <w:t xml:space="preserve"> </w:t>
      </w:r>
      <w:r w:rsidR="000A1880">
        <w:rPr>
          <w:rFonts w:ascii="Verdana" w:hAnsi="Verdana" w:cs="Verdana"/>
          <w:sz w:val="20"/>
          <w:szCs w:val="20"/>
        </w:rPr>
        <w:t xml:space="preserve">tracks </w:t>
      </w:r>
      <w:r w:rsidR="009139D5">
        <w:rPr>
          <w:rFonts w:ascii="Verdana" w:hAnsi="Verdana" w:cs="Verdana"/>
          <w:sz w:val="20"/>
          <w:szCs w:val="20"/>
        </w:rPr>
        <w:t xml:space="preserve">all </w:t>
      </w:r>
      <w:r>
        <w:rPr>
          <w:rFonts w:ascii="Verdana" w:hAnsi="Verdana" w:cs="Verdana"/>
          <w:sz w:val="20"/>
          <w:szCs w:val="20"/>
        </w:rPr>
        <w:t xml:space="preserve">approved </w:t>
      </w:r>
      <w:r w:rsidR="009139D5">
        <w:rPr>
          <w:rFonts w:ascii="Verdana" w:hAnsi="Verdana" w:cs="Verdana"/>
          <w:sz w:val="20"/>
          <w:szCs w:val="20"/>
        </w:rPr>
        <w:t xml:space="preserve">FMLA </w:t>
      </w:r>
      <w:r w:rsidR="00001EA4">
        <w:rPr>
          <w:rFonts w:ascii="Verdana" w:hAnsi="Verdana" w:cs="Verdana"/>
          <w:sz w:val="20"/>
          <w:szCs w:val="20"/>
        </w:rPr>
        <w:t>related</w:t>
      </w:r>
      <w:r w:rsidR="00BA454C">
        <w:rPr>
          <w:rFonts w:ascii="Verdana" w:hAnsi="Verdana" w:cs="Verdana"/>
          <w:sz w:val="20"/>
          <w:szCs w:val="20"/>
        </w:rPr>
        <w:t xml:space="preserve"> absences in SAP.</w:t>
      </w:r>
      <w:r w:rsidR="00BA6AEB">
        <w:rPr>
          <w:rFonts w:ascii="Verdana" w:hAnsi="Verdana" w:cs="Verdana"/>
          <w:sz w:val="20"/>
          <w:szCs w:val="20"/>
        </w:rPr>
        <w:t xml:space="preserve"> </w:t>
      </w:r>
      <w:r w:rsidR="000B691B">
        <w:rPr>
          <w:rFonts w:ascii="Verdana" w:hAnsi="Verdana" w:cs="Verdana"/>
          <w:sz w:val="20"/>
          <w:szCs w:val="20"/>
        </w:rPr>
        <w:t>It</w:t>
      </w:r>
      <w:r w:rsidR="00BA6AEB">
        <w:rPr>
          <w:rFonts w:ascii="Verdana" w:hAnsi="Verdana" w:cs="Verdana"/>
          <w:sz w:val="20"/>
          <w:szCs w:val="20"/>
        </w:rPr>
        <w:t xml:space="preserve"> </w:t>
      </w:r>
      <w:r w:rsidR="00BA454C">
        <w:rPr>
          <w:rFonts w:ascii="Verdana" w:hAnsi="Verdana" w:cs="Verdana"/>
          <w:sz w:val="20"/>
          <w:szCs w:val="20"/>
        </w:rPr>
        <w:t xml:space="preserve">can be </w:t>
      </w:r>
      <w:r w:rsidR="00BA454C" w:rsidRPr="00D57478">
        <w:rPr>
          <w:rFonts w:ascii="Verdana" w:eastAsia="Verdana" w:hAnsi="Verdana" w:cs="Verdana"/>
          <w:sz w:val="20"/>
          <w:szCs w:val="20"/>
        </w:rPr>
        <w:t xml:space="preserve">used to </w:t>
      </w:r>
      <w:r w:rsidR="00684C60">
        <w:rPr>
          <w:rFonts w:ascii="Verdana" w:eastAsia="Verdana" w:hAnsi="Verdana" w:cs="Verdana"/>
          <w:sz w:val="20"/>
          <w:szCs w:val="20"/>
        </w:rPr>
        <w:t>view</w:t>
      </w:r>
      <w:r w:rsidR="00BA454C" w:rsidRPr="00D57478">
        <w:rPr>
          <w:rFonts w:ascii="Verdana" w:eastAsia="Verdana" w:hAnsi="Verdana" w:cs="Verdana"/>
          <w:sz w:val="20"/>
          <w:szCs w:val="20"/>
        </w:rPr>
        <w:t xml:space="preserve"> </w:t>
      </w:r>
      <w:r w:rsidR="00BA454C">
        <w:rPr>
          <w:rFonts w:ascii="Verdana" w:eastAsia="Verdana" w:hAnsi="Verdana" w:cs="Verdana"/>
          <w:sz w:val="20"/>
          <w:szCs w:val="20"/>
        </w:rPr>
        <w:t xml:space="preserve">the overall </w:t>
      </w:r>
      <w:r w:rsidR="009E40F0">
        <w:rPr>
          <w:rFonts w:ascii="Verdana" w:eastAsia="Verdana" w:hAnsi="Verdana" w:cs="Verdana"/>
          <w:sz w:val="20"/>
          <w:szCs w:val="20"/>
        </w:rPr>
        <w:t>FMLA usage</w:t>
      </w:r>
      <w:r w:rsidR="00BA454C" w:rsidRPr="001A329F">
        <w:rPr>
          <w:rFonts w:ascii="Verdana" w:eastAsia="Verdana" w:hAnsi="Verdana" w:cs="Verdana"/>
          <w:sz w:val="20"/>
          <w:szCs w:val="20"/>
        </w:rPr>
        <w:t xml:space="preserve"> </w:t>
      </w:r>
      <w:r w:rsidR="009E40F0">
        <w:rPr>
          <w:rFonts w:ascii="Verdana" w:eastAsia="Verdana" w:hAnsi="Verdana" w:cs="Verdana"/>
          <w:sz w:val="20"/>
          <w:szCs w:val="20"/>
        </w:rPr>
        <w:t xml:space="preserve">for a specific period </w:t>
      </w:r>
      <w:r w:rsidR="00BA454C" w:rsidRPr="00D57478">
        <w:rPr>
          <w:rFonts w:ascii="Verdana" w:eastAsia="Verdana" w:hAnsi="Verdana" w:cs="Verdana"/>
          <w:sz w:val="20"/>
          <w:szCs w:val="20"/>
        </w:rPr>
        <w:t>via the PT_BAL00 report.</w:t>
      </w:r>
      <w:r w:rsidR="000B691B">
        <w:rPr>
          <w:rFonts w:ascii="Verdana" w:eastAsia="Verdana" w:hAnsi="Verdana" w:cs="Verdana"/>
          <w:sz w:val="20"/>
          <w:szCs w:val="20"/>
        </w:rPr>
        <w:t xml:space="preserve"> R</w:t>
      </w:r>
      <w:r w:rsidR="00BA6AEB">
        <w:rPr>
          <w:rFonts w:ascii="Verdana" w:eastAsia="Verdana" w:hAnsi="Verdana" w:cs="Verdana"/>
          <w:sz w:val="20"/>
          <w:szCs w:val="20"/>
        </w:rPr>
        <w:t xml:space="preserve">esults generated via the report will reflect </w:t>
      </w:r>
      <w:r>
        <w:rPr>
          <w:rFonts w:ascii="Verdana" w:eastAsia="Verdana" w:hAnsi="Verdana" w:cs="Verdana"/>
          <w:sz w:val="20"/>
          <w:szCs w:val="20"/>
        </w:rPr>
        <w:t xml:space="preserve">FMLA absence </w:t>
      </w:r>
      <w:r w:rsidR="00BA6AEB">
        <w:rPr>
          <w:rFonts w:ascii="Verdana" w:eastAsia="Verdana" w:hAnsi="Verdana" w:cs="Verdana"/>
          <w:sz w:val="20"/>
          <w:szCs w:val="20"/>
        </w:rPr>
        <w:t>hours used on a daily basis</w:t>
      </w:r>
      <w:r w:rsidR="00684C60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but </w:t>
      </w:r>
      <w:r w:rsidR="000B691B" w:rsidRPr="00D57478">
        <w:rPr>
          <w:rFonts w:ascii="Verdana" w:eastAsia="Verdana" w:hAnsi="Verdana" w:cs="Verdana"/>
          <w:sz w:val="20"/>
          <w:szCs w:val="20"/>
        </w:rPr>
        <w:t xml:space="preserve">does not </w:t>
      </w:r>
      <w:r>
        <w:rPr>
          <w:rFonts w:ascii="Verdana" w:eastAsia="Verdana" w:hAnsi="Verdana" w:cs="Verdana"/>
          <w:sz w:val="20"/>
          <w:szCs w:val="20"/>
        </w:rPr>
        <w:t xml:space="preserve">identify </w:t>
      </w:r>
      <w:r w:rsidR="000B691B" w:rsidRPr="00D57478">
        <w:rPr>
          <w:rFonts w:ascii="Verdana" w:eastAsia="Verdana" w:hAnsi="Verdana" w:cs="Verdana"/>
          <w:sz w:val="20"/>
          <w:szCs w:val="20"/>
        </w:rPr>
        <w:t>to which event the absence is linked</w:t>
      </w:r>
      <w:r w:rsidR="000B691B">
        <w:rPr>
          <w:rFonts w:ascii="Verdana" w:eastAsia="Verdana" w:hAnsi="Verdana" w:cs="Verdana"/>
          <w:sz w:val="20"/>
          <w:szCs w:val="20"/>
        </w:rPr>
        <w:t xml:space="preserve"> </w:t>
      </w:r>
      <w:r w:rsidR="000B691B" w:rsidRPr="00D57478">
        <w:rPr>
          <w:rFonts w:ascii="Verdana" w:eastAsia="Verdana" w:hAnsi="Verdana" w:cs="Verdana"/>
          <w:sz w:val="20"/>
          <w:szCs w:val="20"/>
        </w:rPr>
        <w:t xml:space="preserve">in the </w:t>
      </w:r>
      <w:r>
        <w:rPr>
          <w:rFonts w:ascii="Verdana" w:eastAsia="Verdana" w:hAnsi="Verdana" w:cs="Verdana"/>
          <w:sz w:val="20"/>
          <w:szCs w:val="20"/>
        </w:rPr>
        <w:t>FMLA Workbench (PTFMLA)</w:t>
      </w:r>
      <w:r w:rsidR="000B691B">
        <w:rPr>
          <w:rFonts w:ascii="Verdana" w:eastAsia="Verdana" w:hAnsi="Verdana" w:cs="Verdana"/>
          <w:sz w:val="20"/>
          <w:szCs w:val="20"/>
        </w:rPr>
        <w:t xml:space="preserve">. </w:t>
      </w:r>
    </w:p>
    <w:p w14:paraId="3C5CBC26" w14:textId="77777777" w:rsidR="009139D5" w:rsidRDefault="009139D5" w:rsidP="009139D5">
      <w:pPr>
        <w:rPr>
          <w:rFonts w:ascii="Verdana" w:hAnsi="Verdana" w:cs="Verdana"/>
          <w:sz w:val="20"/>
          <w:szCs w:val="20"/>
        </w:rPr>
      </w:pPr>
    </w:p>
    <w:p w14:paraId="153DFC92" w14:textId="7F73490D" w:rsidR="000B691B" w:rsidRDefault="00BA6AEB" w:rsidP="009E40F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Due to COVID-19, </w:t>
      </w:r>
      <w:r w:rsidR="001C094F">
        <w:rPr>
          <w:rFonts w:ascii="Verdana" w:eastAsia="Verdana" w:hAnsi="Verdana" w:cs="Verdana"/>
          <w:sz w:val="20"/>
          <w:szCs w:val="20"/>
        </w:rPr>
        <w:t xml:space="preserve">Time Type 5151 </w:t>
      </w:r>
      <w:r>
        <w:rPr>
          <w:rFonts w:ascii="Verdana" w:eastAsia="Verdana" w:hAnsi="Verdana" w:cs="Verdana"/>
          <w:sz w:val="20"/>
          <w:szCs w:val="20"/>
        </w:rPr>
        <w:t xml:space="preserve">was </w:t>
      </w:r>
      <w:r w:rsidR="009E40F0">
        <w:rPr>
          <w:rFonts w:ascii="Verdana" w:eastAsia="Verdana" w:hAnsi="Verdana" w:cs="Verdana"/>
          <w:sz w:val="20"/>
          <w:szCs w:val="20"/>
        </w:rPr>
        <w:t xml:space="preserve">updated to include the </w:t>
      </w:r>
      <w:r w:rsidR="00F76E60">
        <w:rPr>
          <w:rFonts w:ascii="Verdana" w:eastAsia="Verdana" w:hAnsi="Verdana" w:cs="Verdana"/>
          <w:sz w:val="20"/>
          <w:szCs w:val="20"/>
        </w:rPr>
        <w:t>Emergency Childcare (</w:t>
      </w:r>
      <w:r w:rsidR="009E40F0">
        <w:rPr>
          <w:rFonts w:ascii="Verdana" w:eastAsia="Verdana" w:hAnsi="Verdana" w:cs="Verdana"/>
          <w:sz w:val="20"/>
          <w:szCs w:val="20"/>
        </w:rPr>
        <w:t>ECC</w:t>
      </w:r>
      <w:r w:rsidR="00F76E60">
        <w:rPr>
          <w:rFonts w:ascii="Verdana" w:eastAsia="Verdana" w:hAnsi="Verdana" w:cs="Verdana"/>
          <w:sz w:val="20"/>
          <w:szCs w:val="20"/>
        </w:rPr>
        <w:t>)</w:t>
      </w:r>
      <w:r w:rsidR="009E40F0">
        <w:rPr>
          <w:rFonts w:ascii="Verdana" w:eastAsia="Verdana" w:hAnsi="Verdana" w:cs="Verdana"/>
          <w:sz w:val="20"/>
          <w:szCs w:val="20"/>
        </w:rPr>
        <w:t xml:space="preserve"> absence type</w:t>
      </w:r>
      <w:r w:rsidR="000B691B">
        <w:rPr>
          <w:rFonts w:ascii="Verdana" w:eastAsia="Verdana" w:hAnsi="Verdana" w:cs="Verdana"/>
          <w:sz w:val="20"/>
          <w:szCs w:val="20"/>
        </w:rPr>
        <w:t xml:space="preserve">. </w:t>
      </w:r>
      <w:r w:rsidR="00B227AF">
        <w:rPr>
          <w:rFonts w:ascii="Verdana" w:eastAsia="Verdana" w:hAnsi="Verdana" w:cs="Verdana"/>
          <w:sz w:val="20"/>
          <w:szCs w:val="20"/>
        </w:rPr>
        <w:t xml:space="preserve">Please keep in mind that </w:t>
      </w:r>
      <w:r w:rsidR="000B691B">
        <w:rPr>
          <w:rFonts w:ascii="Verdana" w:eastAsia="Verdana" w:hAnsi="Verdana" w:cs="Verdana"/>
          <w:sz w:val="20"/>
          <w:szCs w:val="20"/>
        </w:rPr>
        <w:t xml:space="preserve">the </w:t>
      </w:r>
      <w:r w:rsidR="00F76E60">
        <w:rPr>
          <w:rFonts w:ascii="Verdana" w:eastAsia="Verdana" w:hAnsi="Verdana" w:cs="Verdana"/>
          <w:sz w:val="20"/>
          <w:szCs w:val="20"/>
        </w:rPr>
        <w:t>Emergency Sick Family (</w:t>
      </w:r>
      <w:r w:rsidR="000B691B">
        <w:rPr>
          <w:rFonts w:ascii="Verdana" w:eastAsia="Verdana" w:hAnsi="Verdana" w:cs="Verdana"/>
          <w:sz w:val="20"/>
          <w:szCs w:val="20"/>
        </w:rPr>
        <w:t>ESF) absence type is only linked to the FMLA-Emergency Childcare Event if used during the first 10 days of the entitlement</w:t>
      </w:r>
      <w:r w:rsidR="001C094F">
        <w:rPr>
          <w:rFonts w:ascii="Verdana" w:eastAsia="Verdana" w:hAnsi="Verdana" w:cs="Verdana"/>
          <w:sz w:val="20"/>
          <w:szCs w:val="20"/>
        </w:rPr>
        <w:t xml:space="preserve"> and </w:t>
      </w:r>
      <w:r w:rsidR="000B691B">
        <w:rPr>
          <w:rFonts w:ascii="Verdana" w:eastAsia="Verdana" w:hAnsi="Verdana" w:cs="Verdana"/>
          <w:sz w:val="20"/>
          <w:szCs w:val="20"/>
        </w:rPr>
        <w:t xml:space="preserve">will NOT be reflected </w:t>
      </w:r>
      <w:r w:rsidR="00684C60">
        <w:rPr>
          <w:rFonts w:ascii="Verdana" w:eastAsia="Verdana" w:hAnsi="Verdana" w:cs="Verdana"/>
          <w:sz w:val="20"/>
          <w:szCs w:val="20"/>
        </w:rPr>
        <w:t>i</w:t>
      </w:r>
      <w:r w:rsidR="000B691B">
        <w:rPr>
          <w:rFonts w:ascii="Verdana" w:eastAsia="Verdana" w:hAnsi="Verdana" w:cs="Verdana"/>
          <w:sz w:val="20"/>
          <w:szCs w:val="20"/>
        </w:rPr>
        <w:t xml:space="preserve">n </w:t>
      </w:r>
      <w:r w:rsidR="00684C60">
        <w:rPr>
          <w:rFonts w:ascii="Verdana" w:eastAsia="Verdana" w:hAnsi="Verdana" w:cs="Verdana"/>
          <w:sz w:val="20"/>
          <w:szCs w:val="20"/>
        </w:rPr>
        <w:t xml:space="preserve">Time Type 5151 when running the PT_BAL00 </w:t>
      </w:r>
      <w:r w:rsidR="000B691B">
        <w:rPr>
          <w:rFonts w:ascii="Verdana" w:eastAsia="Verdana" w:hAnsi="Verdana" w:cs="Verdana"/>
          <w:sz w:val="20"/>
          <w:szCs w:val="20"/>
        </w:rPr>
        <w:t xml:space="preserve">report. If the ESF absence type </w:t>
      </w:r>
      <w:r w:rsidR="00B227AF">
        <w:rPr>
          <w:rFonts w:ascii="Verdana" w:eastAsia="Verdana" w:hAnsi="Verdana" w:cs="Verdana"/>
          <w:sz w:val="20"/>
          <w:szCs w:val="20"/>
        </w:rPr>
        <w:t xml:space="preserve">is </w:t>
      </w:r>
      <w:r w:rsidR="000B691B">
        <w:rPr>
          <w:rFonts w:ascii="Verdana" w:eastAsia="Verdana" w:hAnsi="Verdana" w:cs="Verdana"/>
          <w:sz w:val="20"/>
          <w:szCs w:val="20"/>
        </w:rPr>
        <w:t xml:space="preserve">linked to </w:t>
      </w:r>
      <w:r w:rsidR="00B227AF">
        <w:rPr>
          <w:rFonts w:ascii="Verdana" w:eastAsia="Verdana" w:hAnsi="Verdana" w:cs="Verdana"/>
          <w:sz w:val="20"/>
          <w:szCs w:val="20"/>
        </w:rPr>
        <w:t xml:space="preserve">an </w:t>
      </w:r>
      <w:r w:rsidR="00286B38">
        <w:rPr>
          <w:rFonts w:ascii="Verdana" w:eastAsia="Verdana" w:hAnsi="Verdana" w:cs="Verdana"/>
          <w:sz w:val="20"/>
          <w:szCs w:val="20"/>
        </w:rPr>
        <w:t>FMLA-Emergency Childcare Event, the</w:t>
      </w:r>
      <w:r w:rsidR="00684C60">
        <w:rPr>
          <w:rFonts w:ascii="Verdana" w:eastAsia="Verdana" w:hAnsi="Verdana" w:cs="Verdana"/>
          <w:sz w:val="20"/>
          <w:szCs w:val="20"/>
        </w:rPr>
        <w:t xml:space="preserve"> ESF</w:t>
      </w:r>
      <w:r w:rsidR="00286B38">
        <w:rPr>
          <w:rFonts w:ascii="Verdana" w:eastAsia="Verdana" w:hAnsi="Verdana" w:cs="Verdana"/>
          <w:sz w:val="20"/>
          <w:szCs w:val="20"/>
        </w:rPr>
        <w:t xml:space="preserve"> usage will need to be manually calculated.</w:t>
      </w:r>
    </w:p>
    <w:p w14:paraId="615E1092" w14:textId="77777777" w:rsidR="00286B38" w:rsidRDefault="00286B38" w:rsidP="009E40F0">
      <w:pPr>
        <w:rPr>
          <w:rFonts w:ascii="Verdana" w:eastAsia="Verdana" w:hAnsi="Verdana" w:cs="Verdana"/>
          <w:sz w:val="20"/>
          <w:szCs w:val="20"/>
        </w:rPr>
      </w:pPr>
    </w:p>
    <w:p w14:paraId="6CEC5EAB" w14:textId="00FFFFAA" w:rsidR="00B215B1" w:rsidRDefault="00617557" w:rsidP="009E39D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When updating configuration to </w:t>
      </w:r>
      <w:r w:rsidR="00F76E60">
        <w:rPr>
          <w:rFonts w:ascii="Verdana" w:hAnsi="Verdana" w:cs="Verdana"/>
          <w:sz w:val="20"/>
          <w:szCs w:val="20"/>
        </w:rPr>
        <w:t xml:space="preserve">include the </w:t>
      </w:r>
      <w:r>
        <w:rPr>
          <w:rFonts w:ascii="Verdana" w:hAnsi="Verdana" w:cs="Verdana"/>
          <w:sz w:val="20"/>
          <w:szCs w:val="20"/>
        </w:rPr>
        <w:t xml:space="preserve">ECC </w:t>
      </w:r>
      <w:r w:rsidR="00F76E60">
        <w:rPr>
          <w:rFonts w:ascii="Verdana" w:hAnsi="Verdana" w:cs="Verdana"/>
          <w:sz w:val="20"/>
          <w:szCs w:val="20"/>
        </w:rPr>
        <w:t xml:space="preserve">absence type </w:t>
      </w:r>
      <w:r>
        <w:rPr>
          <w:rFonts w:ascii="Verdana" w:hAnsi="Verdana" w:cs="Verdana"/>
          <w:sz w:val="20"/>
          <w:szCs w:val="20"/>
        </w:rPr>
        <w:t>in Time Type 5151, it was</w:t>
      </w:r>
      <w:r w:rsidR="009139D5">
        <w:rPr>
          <w:rFonts w:ascii="Verdana" w:hAnsi="Verdana" w:cs="Verdana"/>
          <w:sz w:val="20"/>
          <w:szCs w:val="20"/>
        </w:rPr>
        <w:t xml:space="preserve"> discovered that Work Related Injury</w:t>
      </w:r>
      <w:r w:rsidR="00F76E60">
        <w:rPr>
          <w:rFonts w:ascii="Verdana" w:hAnsi="Verdana" w:cs="Verdana"/>
          <w:sz w:val="20"/>
          <w:szCs w:val="20"/>
        </w:rPr>
        <w:t xml:space="preserve"> (WRI)</w:t>
      </w:r>
      <w:r w:rsidR="009139D5">
        <w:rPr>
          <w:rFonts w:ascii="Verdana" w:hAnsi="Verdana" w:cs="Verdana"/>
          <w:sz w:val="20"/>
          <w:szCs w:val="20"/>
        </w:rPr>
        <w:t xml:space="preserve"> absence types (IO, AI, etc.) were reporting as an FMLA related absence.</w:t>
      </w:r>
      <w:r w:rsidR="001C094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WRI absences do not reduce an employee’s FMLA entitlement. </w:t>
      </w:r>
      <w:r w:rsidR="00286B38">
        <w:rPr>
          <w:rFonts w:ascii="Verdana" w:hAnsi="Verdana" w:cs="Verdana"/>
          <w:sz w:val="20"/>
          <w:szCs w:val="20"/>
        </w:rPr>
        <w:t xml:space="preserve">SAP configuration has been updated to </w:t>
      </w:r>
      <w:r w:rsidR="00286B38">
        <w:rPr>
          <w:rFonts w:ascii="Verdana" w:eastAsia="Verdana" w:hAnsi="Verdana" w:cs="Verdana"/>
          <w:sz w:val="20"/>
          <w:szCs w:val="20"/>
        </w:rPr>
        <w:t xml:space="preserve">remove all WRI absence types from Time Type 5151. </w:t>
      </w:r>
      <w:r w:rsidR="009E40F0">
        <w:rPr>
          <w:rFonts w:ascii="Verdana" w:hAnsi="Verdana" w:cs="Verdana"/>
          <w:sz w:val="20"/>
          <w:szCs w:val="20"/>
        </w:rPr>
        <w:t>Since</w:t>
      </w:r>
      <w:r w:rsidR="009139D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Time Type 5151 is </w:t>
      </w:r>
      <w:r w:rsidR="00F76E60">
        <w:rPr>
          <w:rFonts w:ascii="Verdana" w:hAnsi="Verdana" w:cs="Verdana"/>
          <w:sz w:val="20"/>
          <w:szCs w:val="20"/>
        </w:rPr>
        <w:t>not</w:t>
      </w:r>
      <w:r>
        <w:rPr>
          <w:rFonts w:ascii="Verdana" w:hAnsi="Verdana" w:cs="Verdana"/>
          <w:sz w:val="20"/>
          <w:szCs w:val="20"/>
        </w:rPr>
        <w:t xml:space="preserve"> used to determine an employee’s remaining </w:t>
      </w:r>
      <w:r w:rsidR="00E4000B">
        <w:rPr>
          <w:rFonts w:ascii="Verdana" w:hAnsi="Verdana" w:cs="Verdana"/>
          <w:sz w:val="20"/>
          <w:szCs w:val="20"/>
        </w:rPr>
        <w:t xml:space="preserve">FMLA </w:t>
      </w:r>
      <w:r>
        <w:rPr>
          <w:rFonts w:ascii="Verdana" w:hAnsi="Verdana" w:cs="Verdana"/>
          <w:sz w:val="20"/>
          <w:szCs w:val="20"/>
        </w:rPr>
        <w:t xml:space="preserve">entitlement, usage of WRI absences </w:t>
      </w:r>
      <w:r w:rsidR="00F76E60">
        <w:rPr>
          <w:rFonts w:ascii="Verdana" w:hAnsi="Verdana" w:cs="Verdana"/>
          <w:sz w:val="20"/>
          <w:szCs w:val="20"/>
        </w:rPr>
        <w:t>did</w:t>
      </w:r>
      <w:r w:rsidR="003641A2">
        <w:rPr>
          <w:rFonts w:ascii="Verdana" w:hAnsi="Verdana" w:cs="Verdana"/>
          <w:sz w:val="20"/>
          <w:szCs w:val="20"/>
        </w:rPr>
        <w:t xml:space="preserve"> </w:t>
      </w:r>
      <w:r w:rsidR="00F76E60">
        <w:rPr>
          <w:rFonts w:ascii="Verdana" w:hAnsi="Verdana" w:cs="Verdana"/>
          <w:sz w:val="20"/>
          <w:szCs w:val="20"/>
        </w:rPr>
        <w:t>NOT</w:t>
      </w:r>
      <w:r>
        <w:rPr>
          <w:rFonts w:ascii="Verdana" w:hAnsi="Verdana" w:cs="Verdana"/>
          <w:sz w:val="20"/>
          <w:szCs w:val="20"/>
        </w:rPr>
        <w:t xml:space="preserve"> have a</w:t>
      </w:r>
      <w:r w:rsidR="009139D5">
        <w:rPr>
          <w:rFonts w:ascii="Verdana" w:hAnsi="Verdana" w:cs="Verdana"/>
          <w:sz w:val="20"/>
          <w:szCs w:val="20"/>
        </w:rPr>
        <w:t xml:space="preserve"> negative impact on employees. </w:t>
      </w:r>
    </w:p>
    <w:p w14:paraId="45DBF78A" w14:textId="77777777" w:rsidR="009E40F0" w:rsidRDefault="009E40F0" w:rsidP="009E39D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F032DE8" w14:textId="3E86316B" w:rsidR="005314F1" w:rsidRDefault="00DB57BA" w:rsidP="009E39D5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To review FMLA related absence</w:t>
      </w:r>
      <w:r w:rsidR="00D57478"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in SAP using Time Type 5151, via the </w:t>
      </w:r>
      <w:r w:rsidR="005314F1">
        <w:rPr>
          <w:rFonts w:ascii="Verdana" w:eastAsia="Verdana" w:hAnsi="Verdana" w:cs="Verdana"/>
          <w:b/>
          <w:bCs/>
          <w:sz w:val="20"/>
          <w:szCs w:val="20"/>
        </w:rPr>
        <w:t>PT_BAL00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Report, follow the below </w:t>
      </w:r>
      <w:r w:rsidR="001C094F">
        <w:rPr>
          <w:rFonts w:ascii="Verdana" w:eastAsia="Verdana" w:hAnsi="Verdana" w:cs="Verdana"/>
          <w:b/>
          <w:bCs/>
          <w:sz w:val="20"/>
          <w:szCs w:val="20"/>
        </w:rPr>
        <w:t>instructions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. </w:t>
      </w:r>
    </w:p>
    <w:p w14:paraId="3703F2E6" w14:textId="0D454F3E" w:rsidR="005314F1" w:rsidRDefault="00DB57BA" w:rsidP="009E39D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B09C" wp14:editId="61550022">
                <wp:simplePos x="0" y="0"/>
                <wp:positionH relativeFrom="column">
                  <wp:posOffset>4105275</wp:posOffset>
                </wp:positionH>
                <wp:positionV relativeFrom="paragraph">
                  <wp:posOffset>244476</wp:posOffset>
                </wp:positionV>
                <wp:extent cx="1800860" cy="3107690"/>
                <wp:effectExtent l="0" t="0" r="279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310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5D139" w14:textId="77ED24B0" w:rsidR="00DB57BA" w:rsidRDefault="00DB57BA" w:rsidP="00B215B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 w:hanging="27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="00B215B1" w:rsidRPr="00B215B1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hoose the </w:t>
                            </w:r>
                            <w:r w:rsidR="00B215B1" w:rsidRPr="00B215B1"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20"/>
                                <w:szCs w:val="20"/>
                              </w:rPr>
                              <w:t>Period</w:t>
                            </w:r>
                            <w:r w:rsidR="00B215B1" w:rsidRPr="00B215B1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to be reviewed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. If using the Other period option, enter the begin and end date of period to be reviewed.</w:t>
                            </w:r>
                          </w:p>
                          <w:p w14:paraId="2D47E26E" w14:textId="1DD2103E" w:rsidR="00B215B1" w:rsidRDefault="00B215B1" w:rsidP="00DB57BA">
                            <w:pPr>
                              <w:pStyle w:val="ListParagraph"/>
                              <w:ind w:left="27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B215B1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51AD71" w14:textId="2B5BE028" w:rsidR="00B215B1" w:rsidRDefault="00DB57BA" w:rsidP="00B215B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 w:hanging="27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E</w:t>
                            </w:r>
                            <w:r w:rsidR="00B215B1" w:rsidRPr="00B215B1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nter the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EE</w:t>
                            </w:r>
                            <w:r w:rsidR="00B215B1" w:rsidRPr="00B215B1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="00B215B1" w:rsidRPr="00B215B1"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20"/>
                                <w:szCs w:val="20"/>
                              </w:rPr>
                              <w:t>Personnel Number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. It is best to only review one EE at a time.</w:t>
                            </w:r>
                          </w:p>
                          <w:p w14:paraId="400D142C" w14:textId="77777777" w:rsidR="00DB57BA" w:rsidRDefault="00DB57BA" w:rsidP="00DB57BA">
                            <w:pPr>
                              <w:pStyle w:val="ListParagraph"/>
                              <w:ind w:left="27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7C2D1393" w14:textId="70434833" w:rsidR="00B215B1" w:rsidRPr="00E74DF7" w:rsidRDefault="00DB57BA" w:rsidP="0061763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 w:hanging="27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E74DF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="00B215B1" w:rsidRPr="00E74DF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elect the </w:t>
                            </w:r>
                            <w:r w:rsidR="00B215B1" w:rsidRPr="00E74DF7"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20"/>
                                <w:szCs w:val="20"/>
                              </w:rPr>
                              <w:t>Day Balance</w:t>
                            </w:r>
                            <w:r w:rsidR="00B215B1" w:rsidRPr="00E74DF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radio button</w:t>
                            </w:r>
                            <w:r w:rsidR="00E74DF7" w:rsidRPr="00E74DF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215B1" w:rsidRPr="00E74DF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enter “5151” in the time type field</w:t>
                            </w:r>
                            <w:r w:rsidR="00E74DF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  <w:r w:rsidR="00B215B1" w:rsidRPr="00E74DF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1903BF" w14:textId="77777777" w:rsidR="00DB57BA" w:rsidRDefault="00DB57BA" w:rsidP="00DB57BA">
                            <w:pPr>
                              <w:pStyle w:val="ListParagraph"/>
                              <w:ind w:left="27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552CEA3A" w14:textId="6035B966" w:rsidR="00B215B1" w:rsidRPr="00B215B1" w:rsidRDefault="00B215B1" w:rsidP="00B215B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 w:hanging="27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B215B1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Execute (F8) the report</w:t>
                            </w:r>
                          </w:p>
                          <w:p w14:paraId="6CD6C7AD" w14:textId="77777777" w:rsidR="00B215B1" w:rsidRPr="00B215B1" w:rsidRDefault="00B215B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1B0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3.25pt;margin-top:19.25pt;width:141.8pt;height:2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" fillcolor="white [3201]" strokeweight=".5pt">
                <v:textbox>
                  <w:txbxContent>
                    <w:p w14:paraId="1EC5D139" w14:textId="77ED24B0" w:rsidR="00DB57BA" w:rsidRDefault="00DB57BA" w:rsidP="00B215B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="270" w:hanging="27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C</w:t>
                      </w:r>
                      <w:r w:rsidR="00B215B1" w:rsidRPr="00B215B1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hoose the </w:t>
                      </w:r>
                      <w:r w:rsidR="00B215B1" w:rsidRPr="00B215B1">
                        <w:rPr>
                          <w:rFonts w:ascii="Verdana" w:eastAsia="Verdana" w:hAnsi="Verdana" w:cs="Verdana"/>
                          <w:i/>
                          <w:iCs/>
                          <w:sz w:val="20"/>
                          <w:szCs w:val="20"/>
                        </w:rPr>
                        <w:t>Period</w:t>
                      </w:r>
                      <w:r w:rsidR="00B215B1" w:rsidRPr="00B215B1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to be reviewed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. If using the Other period option, enter the begin and end date of period to be reviewed.</w:t>
                      </w:r>
                    </w:p>
                    <w:p w14:paraId="2D47E26E" w14:textId="1DD2103E" w:rsidR="00B215B1" w:rsidRDefault="00B215B1" w:rsidP="00DB57BA">
                      <w:pPr>
                        <w:pStyle w:val="ListParagraph"/>
                        <w:ind w:left="27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B215B1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51AD71" w14:textId="2B5BE028" w:rsidR="00B215B1" w:rsidRDefault="00DB57BA" w:rsidP="00B215B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="270" w:hanging="27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E</w:t>
                      </w:r>
                      <w:r w:rsidR="00B215B1" w:rsidRPr="00B215B1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nter the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EE</w:t>
                      </w:r>
                      <w:r w:rsidR="00B215B1" w:rsidRPr="00B215B1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’s </w:t>
                      </w:r>
                      <w:r w:rsidR="00B215B1" w:rsidRPr="00B215B1">
                        <w:rPr>
                          <w:rFonts w:ascii="Verdana" w:eastAsia="Verdana" w:hAnsi="Verdana" w:cs="Verdana"/>
                          <w:i/>
                          <w:iCs/>
                          <w:sz w:val="20"/>
                          <w:szCs w:val="20"/>
                        </w:rPr>
                        <w:t>Personnel Number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. It is best to only review one EE at a time.</w:t>
                      </w:r>
                    </w:p>
                    <w:p w14:paraId="400D142C" w14:textId="77777777" w:rsidR="00DB57BA" w:rsidRDefault="00DB57BA" w:rsidP="00DB57BA">
                      <w:pPr>
                        <w:pStyle w:val="ListParagraph"/>
                        <w:ind w:left="27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14:paraId="7C2D1393" w14:textId="70434833" w:rsidR="00B215B1" w:rsidRPr="00E74DF7" w:rsidRDefault="00DB57BA" w:rsidP="0061763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="270" w:hanging="27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E74DF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S</w:t>
                      </w:r>
                      <w:r w:rsidR="00B215B1" w:rsidRPr="00E74DF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elect the </w:t>
                      </w:r>
                      <w:r w:rsidR="00B215B1" w:rsidRPr="00E74DF7">
                        <w:rPr>
                          <w:rFonts w:ascii="Verdana" w:eastAsia="Verdana" w:hAnsi="Verdana" w:cs="Verdana"/>
                          <w:i/>
                          <w:iCs/>
                          <w:sz w:val="20"/>
                          <w:szCs w:val="20"/>
                        </w:rPr>
                        <w:t>Day Balance</w:t>
                      </w:r>
                      <w:r w:rsidR="00B215B1" w:rsidRPr="00E74DF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radio button</w:t>
                      </w:r>
                      <w:r w:rsidR="00E74DF7" w:rsidRPr="00E74DF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and </w:t>
                      </w:r>
                      <w:r w:rsidR="00B215B1" w:rsidRPr="00E74DF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enter “5151” in the time type field</w:t>
                      </w:r>
                      <w:r w:rsidR="00E74DF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.</w:t>
                      </w:r>
                      <w:r w:rsidR="00B215B1" w:rsidRPr="00E74DF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1903BF" w14:textId="77777777" w:rsidR="00DB57BA" w:rsidRDefault="00DB57BA" w:rsidP="00DB57BA">
                      <w:pPr>
                        <w:pStyle w:val="ListParagraph"/>
                        <w:ind w:left="27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14:paraId="552CEA3A" w14:textId="6035B966" w:rsidR="00B215B1" w:rsidRPr="00B215B1" w:rsidRDefault="00B215B1" w:rsidP="00B215B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="270" w:hanging="27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B215B1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Execute (F8) the report</w:t>
                      </w:r>
                    </w:p>
                    <w:p w14:paraId="6CD6C7AD" w14:textId="77777777" w:rsidR="00B215B1" w:rsidRPr="00B215B1" w:rsidRDefault="00B215B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4F1" w:rsidRPr="005314F1"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4B35149C" wp14:editId="66056197">
            <wp:extent cx="4809744" cy="3355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33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1E14" w14:textId="4C23BCB5" w:rsidR="00B936DF" w:rsidRDefault="00B936DF" w:rsidP="009E39D5">
      <w:pPr>
        <w:rPr>
          <w:rFonts w:ascii="Verdana" w:eastAsia="Verdana" w:hAnsi="Verdana" w:cs="Verdana"/>
          <w:sz w:val="20"/>
          <w:szCs w:val="20"/>
        </w:rPr>
      </w:pPr>
    </w:p>
    <w:p w14:paraId="120B449F" w14:textId="7AA59AAA" w:rsidR="00B936DF" w:rsidRPr="004E4D45" w:rsidRDefault="00982299" w:rsidP="009E39D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BF573" wp14:editId="012C8724">
                <wp:simplePos x="0" y="0"/>
                <wp:positionH relativeFrom="column">
                  <wp:posOffset>4574209</wp:posOffset>
                </wp:positionH>
                <wp:positionV relativeFrom="paragraph">
                  <wp:posOffset>3810</wp:posOffset>
                </wp:positionV>
                <wp:extent cx="1398494" cy="5869940"/>
                <wp:effectExtent l="0" t="0" r="1143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94" cy="586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9DA27" w14:textId="74E27A56" w:rsidR="00B65EE9" w:rsidRDefault="00DB57BA" w:rsidP="00982299">
                            <w:pP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In this example, t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employee </w:t>
                            </w:r>
                            <w:r w:rsidR="00932AB7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used a full day of leave (7.50 hours) for an FMLA related absence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on 3/5/2018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used a total of 200.50 hours</w:t>
                            </w:r>
                            <w:r w:rsidR="001C094F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for FMLA related absences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from 3/2/2018-3/1/2019.</w:t>
                            </w:r>
                          </w:p>
                          <w:p w14:paraId="18A54880" w14:textId="77777777" w:rsidR="00B65EE9" w:rsidRDefault="00B65EE9" w:rsidP="00982299">
                            <w:pP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16A7FC0C" w14:textId="244932B1" w:rsidR="00B65EE9" w:rsidRDefault="00E74DF7" w:rsidP="00982299">
                            <w:pP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Note: You can compare the results against 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PA51, IT2001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or the PTFMLA transaction 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for the same date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(s)</w:t>
                            </w:r>
                            <w:r w:rsidR="00B65EE9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B2F7BF" w14:textId="4FD7319A" w:rsidR="00843460" w:rsidRDefault="00843460" w:rsidP="00982299">
                            <w:pP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0D96CB46" w14:textId="0067CF02" w:rsidR="00843460" w:rsidRPr="00B215B1" w:rsidRDefault="00932AB7" w:rsidP="0098229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Reminder: </w:t>
                            </w:r>
                            <w:r w:rsidR="00843460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If the EE used ESF during the first 10 days of the childcare event, the </w:t>
                            </w:r>
                            <w:r w:rsidR="001C094F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ESF absence </w:t>
                            </w:r>
                            <w:r w:rsidR="00843460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hours taken during the period in review would need to be manually </w:t>
                            </w:r>
                            <w:r w:rsidR="001C094F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added to </w:t>
                            </w:r>
                            <w:r w:rsidR="00843460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the total hours taken.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F573" id="Text Box 10" o:spid="_x0000_s1027" type="#_x0000_t202" style="position:absolute;margin-left:360.15pt;margin-top:.3pt;width:110.1pt;height:4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" fillcolor="white [3201]" strokeweight=".5pt">
                <v:textbox>
                  <w:txbxContent>
                    <w:p w14:paraId="6199DA27" w14:textId="74E27A56" w:rsidR="00B65EE9" w:rsidRDefault="00DB57BA" w:rsidP="00982299">
                      <w:pP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In this example, t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employee </w:t>
                      </w:r>
                      <w:r w:rsidR="00932AB7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used a full day of leave (7.50 hours) for an FMLA related absence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on 3/5/2018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and 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used a total of 200.50 hours</w:t>
                      </w:r>
                      <w:r w:rsidR="001C094F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for FMLA related absences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from 3/2/2018-3/1/2019.</w:t>
                      </w:r>
                    </w:p>
                    <w:p w14:paraId="18A54880" w14:textId="77777777" w:rsidR="00B65EE9" w:rsidRDefault="00B65EE9" w:rsidP="00982299">
                      <w:pP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14:paraId="16A7FC0C" w14:textId="244932B1" w:rsidR="00B65EE9" w:rsidRDefault="00E74DF7" w:rsidP="00982299">
                      <w:pP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Note: You can compare the results against 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PA51, IT2001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or the PTFMLA transaction 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for the same date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(s)</w:t>
                      </w:r>
                      <w:r w:rsidR="00B65EE9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B2F7BF" w14:textId="4FD7319A" w:rsidR="00843460" w:rsidRDefault="00843460" w:rsidP="00982299">
                      <w:pP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14:paraId="0D96CB46" w14:textId="0067CF02" w:rsidR="00843460" w:rsidRPr="00B215B1" w:rsidRDefault="00932AB7" w:rsidP="0098229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Reminder: </w:t>
                      </w:r>
                      <w:r w:rsidR="00843460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If the EE used ESF during the first 10 days of the childcare event, the </w:t>
                      </w:r>
                      <w:r w:rsidR="001C094F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ESF absence </w:t>
                      </w:r>
                      <w:r w:rsidR="00843460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hours taken during the period in review would need to be manually </w:t>
                      </w:r>
                      <w:r w:rsidR="001C094F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added to </w:t>
                      </w:r>
                      <w:r w:rsidR="00843460"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the total hours taken. </w:t>
                      </w:r>
                    </w:p>
                  </w:txbxContent>
                </v:textbox>
              </v:shape>
            </w:pict>
          </mc:Fallback>
        </mc:AlternateContent>
      </w:r>
      <w:r w:rsidR="00F20788" w:rsidRPr="00F20788"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3E2B5302" wp14:editId="1B6505A6">
            <wp:extent cx="4544568" cy="587044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4568" cy="587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2B91" w14:textId="77777777" w:rsidR="007B674E" w:rsidRDefault="007B674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302E6C9" w14:textId="77777777" w:rsidR="00E4000B" w:rsidRDefault="00E4000B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8CFAA7D" w14:textId="272A7623" w:rsidR="009E3DB2" w:rsidRPr="00B940B5" w:rsidRDefault="00461D7E" w:rsidP="3DE9AD8F">
      <w:pPr>
        <w:rPr>
          <w:rFonts w:ascii="Verdana" w:eastAsia="Verdana" w:hAnsi="Verdana" w:cs="Verdana"/>
          <w:sz w:val="20"/>
          <w:szCs w:val="20"/>
        </w:rPr>
      </w:pPr>
      <w:r w:rsidRPr="00B940B5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00B940B5">
        <w:rPr>
          <w:rFonts w:ascii="Verdana" w:eastAsia="Verdana" w:hAnsi="Verdana" w:cs="Verdana"/>
          <w:sz w:val="20"/>
          <w:szCs w:val="20"/>
        </w:rPr>
        <w:t xml:space="preserve"> </w:t>
      </w:r>
    </w:p>
    <w:p w14:paraId="599FE46E" w14:textId="77777777" w:rsidR="00E753A3" w:rsidRPr="00B940B5" w:rsidRDefault="00E753A3" w:rsidP="3DE9AD8F">
      <w:pPr>
        <w:rPr>
          <w:rFonts w:ascii="Verdana" w:eastAsia="Verdana" w:hAnsi="Verdana" w:cs="Verdana"/>
          <w:sz w:val="20"/>
          <w:szCs w:val="20"/>
        </w:rPr>
      </w:pPr>
    </w:p>
    <w:p w14:paraId="2A0B4ED6" w14:textId="361CBDF1" w:rsidR="006F2E05" w:rsidRPr="00B940B5" w:rsidRDefault="006F2E05" w:rsidP="3DE9AD8F">
      <w:pPr>
        <w:rPr>
          <w:rFonts w:ascii="Verdana" w:hAnsi="Verdana" w:cs="Verdana"/>
          <w:sz w:val="20"/>
          <w:szCs w:val="20"/>
        </w:rPr>
      </w:pPr>
      <w:r w:rsidRPr="00B940B5">
        <w:rPr>
          <w:rFonts w:ascii="Verdana" w:eastAsia="Verdana" w:hAnsi="Verdana" w:cs="Verdana"/>
          <w:b/>
          <w:bCs/>
          <w:sz w:val="20"/>
          <w:szCs w:val="20"/>
        </w:rPr>
        <w:t>Policy</w:t>
      </w:r>
      <w:r w:rsidRPr="00B940B5">
        <w:rPr>
          <w:rFonts w:ascii="Verdana" w:eastAsia="Verdana" w:hAnsi="Verdana" w:cs="Verdana"/>
          <w:sz w:val="20"/>
          <w:szCs w:val="20"/>
        </w:rPr>
        <w:t xml:space="preserve"> - please</w:t>
      </w:r>
      <w:r w:rsidR="00461D7E" w:rsidRPr="00B940B5">
        <w:rPr>
          <w:rFonts w:ascii="Verdana" w:eastAsia="Verdana" w:hAnsi="Verdana" w:cs="Verdana"/>
          <w:sz w:val="20"/>
          <w:szCs w:val="20"/>
        </w:rPr>
        <w:t xml:space="preserve"> </w:t>
      </w:r>
      <w:r w:rsidRPr="00B940B5">
        <w:rPr>
          <w:rFonts w:ascii="Verdana" w:eastAsia="Verdana" w:hAnsi="Verdana" w:cs="Verdana"/>
          <w:sz w:val="20"/>
          <w:szCs w:val="20"/>
        </w:rPr>
        <w:t>email</w:t>
      </w:r>
      <w:r w:rsidR="00B940B5" w:rsidRPr="00B940B5">
        <w:rPr>
          <w:rFonts w:ascii="Verdana" w:eastAsia="Verdana" w:hAnsi="Verdana" w:cs="Verdana"/>
          <w:sz w:val="20"/>
          <w:szCs w:val="20"/>
        </w:rPr>
        <w:t xml:space="preserve"> </w:t>
      </w:r>
      <w:hyperlink r:id="rId13" w:history="1">
        <w:r w:rsidR="00B940B5" w:rsidRPr="00B940B5">
          <w:rPr>
            <w:rStyle w:val="Hyperlink"/>
            <w:rFonts w:ascii="Verdana" w:eastAsia="Verdana" w:hAnsi="Verdana" w:cs="Verdana"/>
            <w:sz w:val="20"/>
            <w:szCs w:val="20"/>
          </w:rPr>
          <w:t>ra-oaleave@pa.gov</w:t>
        </w:r>
      </w:hyperlink>
    </w:p>
    <w:p w14:paraId="759BD46D" w14:textId="77777777" w:rsidR="00C969E4" w:rsidRPr="00B940B5" w:rsidRDefault="006F2E05" w:rsidP="3DE9AD8F">
      <w:pPr>
        <w:rPr>
          <w:rFonts w:ascii="Verdana" w:eastAsia="Verdana" w:hAnsi="Verdana" w:cs="Verdana"/>
          <w:sz w:val="20"/>
          <w:szCs w:val="20"/>
        </w:rPr>
      </w:pPr>
      <w:r w:rsidRPr="00B940B5">
        <w:rPr>
          <w:rFonts w:ascii="Verdana" w:hAnsi="Verdana" w:cs="Verdana"/>
          <w:b/>
          <w:bCs/>
          <w:sz w:val="20"/>
          <w:szCs w:val="20"/>
        </w:rPr>
        <w:t>Systems</w:t>
      </w:r>
      <w:r w:rsidRPr="00B940B5">
        <w:rPr>
          <w:rFonts w:ascii="Verdana" w:hAnsi="Verdana" w:cs="Verdana"/>
          <w:sz w:val="20"/>
          <w:szCs w:val="20"/>
        </w:rPr>
        <w:t xml:space="preserve"> - </w:t>
      </w:r>
      <w:r w:rsidR="009E3DB2" w:rsidRPr="00B940B5">
        <w:rPr>
          <w:rFonts w:ascii="Verdana" w:eastAsia="Verdana" w:hAnsi="Verdana" w:cs="Verdana"/>
          <w:sz w:val="20"/>
          <w:szCs w:val="20"/>
        </w:rPr>
        <w:t xml:space="preserve">please </w:t>
      </w:r>
      <w:r w:rsidR="00461D7E" w:rsidRPr="00B940B5">
        <w:rPr>
          <w:rFonts w:ascii="Verdana" w:eastAsia="Verdana" w:hAnsi="Verdana" w:cs="Verdana"/>
          <w:sz w:val="20"/>
          <w:szCs w:val="20"/>
        </w:rPr>
        <w:t xml:space="preserve">submit an </w:t>
      </w:r>
      <w:hyperlink r:id="rId14">
        <w:r w:rsidR="00461D7E" w:rsidRPr="00B940B5">
          <w:rPr>
            <w:rStyle w:val="Hyperlink"/>
            <w:rFonts w:ascii="Verdana" w:eastAsia="Verdana" w:hAnsi="Verdana" w:cs="Verdana"/>
            <w:sz w:val="20"/>
            <w:szCs w:val="20"/>
          </w:rPr>
          <w:t>HR help desk ticket</w:t>
        </w:r>
      </w:hyperlink>
      <w:r w:rsidR="00461D7E" w:rsidRPr="00B940B5">
        <w:rPr>
          <w:rFonts w:ascii="Verdana" w:eastAsia="Verdana" w:hAnsi="Verdana" w:cs="Verdana"/>
          <w:sz w:val="20"/>
          <w:szCs w:val="20"/>
        </w:rPr>
        <w:t xml:space="preserve"> in the time category</w:t>
      </w:r>
      <w:r w:rsidR="00E90309" w:rsidRPr="00B940B5">
        <w:rPr>
          <w:rFonts w:ascii="Verdana" w:eastAsia="Verdana" w:hAnsi="Verdana" w:cs="Verdana"/>
          <w:sz w:val="20"/>
          <w:szCs w:val="20"/>
        </w:rPr>
        <w:t xml:space="preserve"> or call </w:t>
      </w:r>
      <w:r w:rsidR="00461D7E" w:rsidRPr="00B940B5">
        <w:rPr>
          <w:rFonts w:ascii="Verdana" w:eastAsia="Verdana" w:hAnsi="Verdana" w:cs="Verdana"/>
          <w:sz w:val="20"/>
          <w:szCs w:val="20"/>
        </w:rPr>
        <w:t>the HR Service Center</w:t>
      </w:r>
      <w:r w:rsidR="00E90309" w:rsidRPr="00B940B5">
        <w:rPr>
          <w:rFonts w:ascii="Verdana" w:eastAsia="Verdana" w:hAnsi="Verdana" w:cs="Verdana"/>
          <w:sz w:val="20"/>
          <w:szCs w:val="20"/>
        </w:rPr>
        <w:t xml:space="preserve">, </w:t>
      </w:r>
      <w:r w:rsidR="00461D7E" w:rsidRPr="00B940B5">
        <w:rPr>
          <w:rFonts w:ascii="Verdana" w:eastAsia="Verdana" w:hAnsi="Verdana" w:cs="Verdana"/>
          <w:sz w:val="20"/>
          <w:szCs w:val="20"/>
        </w:rPr>
        <w:t xml:space="preserve">Time Services </w:t>
      </w:r>
      <w:r w:rsidR="00E90309" w:rsidRPr="00B940B5">
        <w:rPr>
          <w:rFonts w:ascii="Verdana" w:eastAsia="Verdana" w:hAnsi="Verdana" w:cs="Verdana"/>
          <w:sz w:val="20"/>
          <w:szCs w:val="20"/>
        </w:rPr>
        <w:t>team</w:t>
      </w:r>
      <w:r w:rsidR="00461D7E" w:rsidRPr="00B940B5">
        <w:rPr>
          <w:rFonts w:ascii="Verdana" w:eastAsia="Verdana" w:hAnsi="Verdana" w:cs="Verdana"/>
          <w:sz w:val="20"/>
          <w:szCs w:val="20"/>
        </w:rPr>
        <w:t xml:space="preserve"> at 877.242.6007, Option 2. </w:t>
      </w:r>
    </w:p>
    <w:sectPr w:rsidR="00C969E4" w:rsidRPr="00B940B5" w:rsidSect="004E7AEA">
      <w:headerReference w:type="default" r:id="rId15"/>
      <w:footerReference w:type="even" r:id="rId16"/>
      <w:footerReference w:type="default" r:id="rId17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BF50" w14:textId="77777777" w:rsidR="00CF4B2B" w:rsidRDefault="00CF4B2B">
      <w:r>
        <w:separator/>
      </w:r>
    </w:p>
  </w:endnote>
  <w:endnote w:type="continuationSeparator" w:id="0">
    <w:p w14:paraId="3C35A0F8" w14:textId="77777777" w:rsidR="00CF4B2B" w:rsidRDefault="00CF4B2B">
      <w:r>
        <w:continuationSeparator/>
      </w:r>
    </w:p>
  </w:endnote>
  <w:endnote w:type="continuationNotice" w:id="1">
    <w:p w14:paraId="25EB9ACB" w14:textId="77777777" w:rsidR="00CF4B2B" w:rsidRDefault="00CF4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106D" w14:textId="77777777" w:rsidR="00CF4B2B" w:rsidRDefault="00CF4B2B">
      <w:r>
        <w:separator/>
      </w:r>
    </w:p>
  </w:footnote>
  <w:footnote w:type="continuationSeparator" w:id="0">
    <w:p w14:paraId="20B11C54" w14:textId="77777777" w:rsidR="00CF4B2B" w:rsidRDefault="00CF4B2B">
      <w:r>
        <w:continuationSeparator/>
      </w:r>
    </w:p>
  </w:footnote>
  <w:footnote w:type="continuationNotice" w:id="1">
    <w:p w14:paraId="08D03676" w14:textId="77777777" w:rsidR="00CF4B2B" w:rsidRDefault="00CF4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7757CF44" w:rsidR="00C969E4" w:rsidRPr="00845FE0" w:rsidRDefault="00CC3F9C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FMLA </w:t>
    </w:r>
    <w:r w:rsidR="24561414" w:rsidRPr="00845FE0">
      <w:rPr>
        <w:rFonts w:ascii="Verdana" w:hAnsi="Verdana" w:cs="Arial"/>
        <w:b/>
        <w:bCs/>
        <w:sz w:val="28"/>
        <w:szCs w:val="28"/>
      </w:rPr>
      <w:t xml:space="preserve">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24561414" w:rsidRPr="00845FE0">
      <w:rPr>
        <w:rFonts w:ascii="Verdana" w:hAnsi="Verdana" w:cs="Arial"/>
        <w:b/>
        <w:bCs/>
        <w:sz w:val="28"/>
        <w:szCs w:val="28"/>
      </w:rPr>
      <w:t>20</w:t>
    </w:r>
    <w:r w:rsidR="24561414">
      <w:rPr>
        <w:rFonts w:ascii="Verdana" w:hAnsi="Verdana" w:cs="Arial"/>
        <w:b/>
        <w:bCs/>
        <w:sz w:val="28"/>
        <w:szCs w:val="28"/>
      </w:rPr>
      <w:t>20</w:t>
    </w:r>
    <w:r w:rsidR="24561414" w:rsidRPr="00845FE0">
      <w:rPr>
        <w:rFonts w:ascii="Verdana" w:hAnsi="Verdana" w:cs="Arial"/>
        <w:b/>
        <w:bCs/>
        <w:sz w:val="28"/>
        <w:szCs w:val="28"/>
      </w:rPr>
      <w:t>-</w:t>
    </w:r>
    <w:r w:rsidR="00F20788">
      <w:rPr>
        <w:rFonts w:ascii="Verdana" w:hAnsi="Verdana" w:cs="Arial"/>
        <w:b/>
        <w:bCs/>
        <w:sz w:val="28"/>
        <w:szCs w:val="28"/>
      </w:rPr>
      <w:t>01</w:t>
    </w:r>
  </w:p>
  <w:p w14:paraId="6D895AE3" w14:textId="278B7B7D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F20788">
      <w:rPr>
        <w:rFonts w:ascii="Verdana" w:hAnsi="Verdana" w:cs="Arial"/>
        <w:sz w:val="20"/>
        <w:szCs w:val="20"/>
      </w:rPr>
      <w:t>10.</w:t>
    </w:r>
    <w:r w:rsidR="00F964FA">
      <w:rPr>
        <w:rFonts w:ascii="Verdana" w:hAnsi="Verdana" w:cs="Arial"/>
        <w:sz w:val="20"/>
        <w:szCs w:val="20"/>
      </w:rPr>
      <w:t>13</w:t>
    </w:r>
    <w:r>
      <w:rPr>
        <w:rFonts w:ascii="Verdana" w:hAnsi="Verdana" w:cs="Arial"/>
        <w:sz w:val="20"/>
        <w:szCs w:val="20"/>
      </w:rPr>
      <w:t>.2020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7FA48356" w14:textId="6866FC37" w:rsidR="00C969E4" w:rsidRDefault="00C95FAC" w:rsidP="004E7AEA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51E6B80D" w14:textId="77777777" w:rsidR="004E7AEA" w:rsidRDefault="004E7AEA" w:rsidP="004E7AEA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29512C"/>
    <w:multiLevelType w:val="hybridMultilevel"/>
    <w:tmpl w:val="8EF0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4"/>
  </w:num>
  <w:num w:numId="8">
    <w:abstractNumId w:val="38"/>
  </w:num>
  <w:num w:numId="9">
    <w:abstractNumId w:val="32"/>
  </w:num>
  <w:num w:numId="10">
    <w:abstractNumId w:val="18"/>
  </w:num>
  <w:num w:numId="11">
    <w:abstractNumId w:val="37"/>
  </w:num>
  <w:num w:numId="12">
    <w:abstractNumId w:val="8"/>
  </w:num>
  <w:num w:numId="13">
    <w:abstractNumId w:val="25"/>
  </w:num>
  <w:num w:numId="14">
    <w:abstractNumId w:val="16"/>
  </w:num>
  <w:num w:numId="15">
    <w:abstractNumId w:val="41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2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1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40"/>
  </w:num>
  <w:num w:numId="35">
    <w:abstractNumId w:val="6"/>
  </w:num>
  <w:num w:numId="36">
    <w:abstractNumId w:val="21"/>
  </w:num>
  <w:num w:numId="37">
    <w:abstractNumId w:val="43"/>
  </w:num>
  <w:num w:numId="38">
    <w:abstractNumId w:val="17"/>
  </w:num>
  <w:num w:numId="39">
    <w:abstractNumId w:val="11"/>
  </w:num>
  <w:num w:numId="40">
    <w:abstractNumId w:val="7"/>
  </w:num>
  <w:num w:numId="41">
    <w:abstractNumId w:val="39"/>
  </w:num>
  <w:num w:numId="42">
    <w:abstractNumId w:val="36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01EA4"/>
    <w:rsid w:val="00003368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4633E"/>
    <w:rsid w:val="000677CE"/>
    <w:rsid w:val="0008017C"/>
    <w:rsid w:val="00081030"/>
    <w:rsid w:val="000928E6"/>
    <w:rsid w:val="00096A32"/>
    <w:rsid w:val="000973C3"/>
    <w:rsid w:val="000A0B0D"/>
    <w:rsid w:val="000A1880"/>
    <w:rsid w:val="000B10B1"/>
    <w:rsid w:val="000B691B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329F"/>
    <w:rsid w:val="001AFD46"/>
    <w:rsid w:val="001B3B1F"/>
    <w:rsid w:val="001B6597"/>
    <w:rsid w:val="001C094F"/>
    <w:rsid w:val="001C2F2E"/>
    <w:rsid w:val="001C37EF"/>
    <w:rsid w:val="001C3E84"/>
    <w:rsid w:val="001C6EBC"/>
    <w:rsid w:val="001D27AD"/>
    <w:rsid w:val="001E5838"/>
    <w:rsid w:val="001E6F48"/>
    <w:rsid w:val="001F1F31"/>
    <w:rsid w:val="001F20AC"/>
    <w:rsid w:val="001F3743"/>
    <w:rsid w:val="001F4FDE"/>
    <w:rsid w:val="00203E87"/>
    <w:rsid w:val="00204AB0"/>
    <w:rsid w:val="00213ADD"/>
    <w:rsid w:val="0021542B"/>
    <w:rsid w:val="00221F06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6B38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41A2"/>
    <w:rsid w:val="00366336"/>
    <w:rsid w:val="003666C5"/>
    <w:rsid w:val="0037665C"/>
    <w:rsid w:val="00377242"/>
    <w:rsid w:val="00381AE4"/>
    <w:rsid w:val="00382FCC"/>
    <w:rsid w:val="00383EE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2E76"/>
    <w:rsid w:val="00467604"/>
    <w:rsid w:val="00473681"/>
    <w:rsid w:val="004821A6"/>
    <w:rsid w:val="0048680C"/>
    <w:rsid w:val="00491C72"/>
    <w:rsid w:val="00497D21"/>
    <w:rsid w:val="004A037D"/>
    <w:rsid w:val="004A1B0D"/>
    <w:rsid w:val="004A4926"/>
    <w:rsid w:val="004B0360"/>
    <w:rsid w:val="004B31BA"/>
    <w:rsid w:val="004C1897"/>
    <w:rsid w:val="004C66D3"/>
    <w:rsid w:val="004D2081"/>
    <w:rsid w:val="004D3DF2"/>
    <w:rsid w:val="004E174E"/>
    <w:rsid w:val="004E1A78"/>
    <w:rsid w:val="004E4D45"/>
    <w:rsid w:val="004E7AEA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4F1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87CCE"/>
    <w:rsid w:val="00590217"/>
    <w:rsid w:val="005B16EE"/>
    <w:rsid w:val="005B2D8B"/>
    <w:rsid w:val="005B54D3"/>
    <w:rsid w:val="005B72E2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17557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42F2"/>
    <w:rsid w:val="00684C60"/>
    <w:rsid w:val="00691434"/>
    <w:rsid w:val="00692502"/>
    <w:rsid w:val="0069589D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3460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205C"/>
    <w:rsid w:val="00903F0B"/>
    <w:rsid w:val="009045FA"/>
    <w:rsid w:val="00907C58"/>
    <w:rsid w:val="00911AD1"/>
    <w:rsid w:val="00911E3D"/>
    <w:rsid w:val="009139D5"/>
    <w:rsid w:val="00917CC4"/>
    <w:rsid w:val="00920854"/>
    <w:rsid w:val="00920985"/>
    <w:rsid w:val="0092522E"/>
    <w:rsid w:val="00930A0D"/>
    <w:rsid w:val="00932AB7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75CE4"/>
    <w:rsid w:val="00981D1D"/>
    <w:rsid w:val="00982221"/>
    <w:rsid w:val="00982299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E40F0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0CAE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15B1"/>
    <w:rsid w:val="00B227AF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65EE9"/>
    <w:rsid w:val="00B7294D"/>
    <w:rsid w:val="00B81AFC"/>
    <w:rsid w:val="00B84B15"/>
    <w:rsid w:val="00B9185C"/>
    <w:rsid w:val="00B92F7E"/>
    <w:rsid w:val="00B936DF"/>
    <w:rsid w:val="00B940B5"/>
    <w:rsid w:val="00BA0576"/>
    <w:rsid w:val="00BA454C"/>
    <w:rsid w:val="00BA459B"/>
    <w:rsid w:val="00BA623A"/>
    <w:rsid w:val="00BA6AEB"/>
    <w:rsid w:val="00BC08E6"/>
    <w:rsid w:val="00BC2E24"/>
    <w:rsid w:val="00BC3365"/>
    <w:rsid w:val="00BC7A01"/>
    <w:rsid w:val="00BD0E3C"/>
    <w:rsid w:val="00BD7C7D"/>
    <w:rsid w:val="00BE5A9B"/>
    <w:rsid w:val="00BF00E9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3F9C"/>
    <w:rsid w:val="00CC6DC2"/>
    <w:rsid w:val="00CD2302"/>
    <w:rsid w:val="00CD552C"/>
    <w:rsid w:val="00CD6CB5"/>
    <w:rsid w:val="00CE259B"/>
    <w:rsid w:val="00CE26A7"/>
    <w:rsid w:val="00CE78D6"/>
    <w:rsid w:val="00CF4B2B"/>
    <w:rsid w:val="00D0475B"/>
    <w:rsid w:val="00D117A6"/>
    <w:rsid w:val="00D11D1E"/>
    <w:rsid w:val="00D16C5E"/>
    <w:rsid w:val="00D2172A"/>
    <w:rsid w:val="00D2478F"/>
    <w:rsid w:val="00D27B8B"/>
    <w:rsid w:val="00D31F60"/>
    <w:rsid w:val="00D32413"/>
    <w:rsid w:val="00D41046"/>
    <w:rsid w:val="00D43A4B"/>
    <w:rsid w:val="00D52F2E"/>
    <w:rsid w:val="00D55653"/>
    <w:rsid w:val="00D56110"/>
    <w:rsid w:val="00D57478"/>
    <w:rsid w:val="00D579E5"/>
    <w:rsid w:val="00D65154"/>
    <w:rsid w:val="00D70F0C"/>
    <w:rsid w:val="00D72DB4"/>
    <w:rsid w:val="00D7427E"/>
    <w:rsid w:val="00D74829"/>
    <w:rsid w:val="00D81CF8"/>
    <w:rsid w:val="00D95F8C"/>
    <w:rsid w:val="00DB330F"/>
    <w:rsid w:val="00DB53B0"/>
    <w:rsid w:val="00DB57BA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AAA"/>
    <w:rsid w:val="00DF4D1A"/>
    <w:rsid w:val="00DF65DF"/>
    <w:rsid w:val="00E01DA5"/>
    <w:rsid w:val="00E02538"/>
    <w:rsid w:val="00E10436"/>
    <w:rsid w:val="00E15F7F"/>
    <w:rsid w:val="00E16248"/>
    <w:rsid w:val="00E17078"/>
    <w:rsid w:val="00E27E23"/>
    <w:rsid w:val="00E370E8"/>
    <w:rsid w:val="00E37B41"/>
    <w:rsid w:val="00E4000B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4DF7"/>
    <w:rsid w:val="00E753A3"/>
    <w:rsid w:val="00E800B7"/>
    <w:rsid w:val="00E80386"/>
    <w:rsid w:val="00E90309"/>
    <w:rsid w:val="00E911BA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F007DB"/>
    <w:rsid w:val="00F122D3"/>
    <w:rsid w:val="00F15489"/>
    <w:rsid w:val="00F15D95"/>
    <w:rsid w:val="00F20788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76E60"/>
    <w:rsid w:val="00F8399F"/>
    <w:rsid w:val="00F846C3"/>
    <w:rsid w:val="00F84855"/>
    <w:rsid w:val="00F8614A"/>
    <w:rsid w:val="00F9261A"/>
    <w:rsid w:val="00F94671"/>
    <w:rsid w:val="00F964FA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-oaleave@p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aiss.state.pa.us/HR-Pay_Help_De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318D-A615-47B1-93EC-24FCD4F4BF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546AB8-0A38-4380-9421-8FBCDF919D84}"/>
</file>

<file path=customXml/itemProps3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4</cp:revision>
  <cp:lastPrinted>2016-02-29T16:38:00Z</cp:lastPrinted>
  <dcterms:created xsi:type="dcterms:W3CDTF">2020-10-13T14:56:00Z</dcterms:created>
  <dcterms:modified xsi:type="dcterms:W3CDTF">2020-10-20T13:46:00Z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