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49" w:rsidRPr="009C0A35" w:rsidRDefault="004979D6" w:rsidP="006A2C49">
      <w:pPr>
        <w:numPr>
          <w:ilvl w:val="0"/>
          <w:numId w:val="20"/>
        </w:numPr>
        <w:rPr>
          <w:b/>
          <w:sz w:val="28"/>
          <w:szCs w:val="28"/>
        </w:rPr>
      </w:pPr>
      <w:bookmarkStart w:id="0" w:name="_GoBack"/>
      <w:bookmarkEnd w:id="0"/>
      <w:r w:rsidRPr="009C0A35">
        <w:rPr>
          <w:b/>
        </w:rPr>
        <w:t>Review of PA Code Title 34, Chapter 129</w:t>
      </w:r>
      <w:r w:rsidR="00B90E8F" w:rsidRPr="009C0A35">
        <w:rPr>
          <w:b/>
        </w:rPr>
        <w:t xml:space="preserve">, </w:t>
      </w:r>
      <w:r w:rsidRPr="009C0A35">
        <w:rPr>
          <w:b/>
        </w:rPr>
        <w:t>Subchapter C</w:t>
      </w:r>
      <w:r w:rsidR="006A2C49" w:rsidRPr="009C0A35">
        <w:rPr>
          <w:b/>
          <w:sz w:val="28"/>
          <w:szCs w:val="28"/>
        </w:rPr>
        <w:t xml:space="preserve"> </w:t>
      </w:r>
      <w:r w:rsidR="006A2C49" w:rsidRPr="00AB08DA">
        <w:t>(Department of Labor and Industry’s regulations concerning Workers’ Compensation Health and Safety)</w:t>
      </w:r>
    </w:p>
    <w:p w:rsidR="00B90E8F" w:rsidRDefault="00B90E8F" w:rsidP="001702A8">
      <w:pPr>
        <w:rPr>
          <w:b/>
        </w:rPr>
      </w:pPr>
    </w:p>
    <w:p w:rsidR="001702A8" w:rsidRPr="001702A8" w:rsidRDefault="00166922" w:rsidP="001702A8">
      <w:pPr>
        <w:rPr>
          <w:b/>
        </w:rPr>
      </w:pPr>
      <w:r>
        <w:rPr>
          <w:b/>
        </w:rPr>
        <w:t xml:space="preserve">    </w:t>
      </w:r>
      <w:hyperlink r:id="rId5" w:history="1">
        <w:r w:rsidR="001702A8" w:rsidRPr="001702A8">
          <w:rPr>
            <w:rStyle w:val="Hyperlink"/>
            <w:b/>
          </w:rPr>
          <w:t>http://www.pacode.com/secure/data/034/chapter129/chap129toc.html</w:t>
        </w:r>
      </w:hyperlink>
    </w:p>
    <w:p w:rsidR="001702A8" w:rsidRPr="009C0A35" w:rsidRDefault="001702A8" w:rsidP="001702A8">
      <w:pPr>
        <w:rPr>
          <w:b/>
        </w:rPr>
      </w:pPr>
    </w:p>
    <w:p w:rsidR="004979D6" w:rsidRPr="00C24027" w:rsidRDefault="004979D6" w:rsidP="004979D6">
      <w:pPr>
        <w:rPr>
          <w:b/>
          <w:u w:val="single"/>
        </w:rPr>
      </w:pPr>
      <w:r w:rsidRPr="00C24027">
        <w:rPr>
          <w:b/>
          <w:u w:val="single"/>
        </w:rPr>
        <w:t>Purpose</w:t>
      </w:r>
    </w:p>
    <w:p w:rsidR="004979D6" w:rsidRDefault="004979D6" w:rsidP="004979D6">
      <w:r w:rsidRPr="004979D6">
        <w:t xml:space="preserve">This subchapter interprets the requirements of the </w:t>
      </w:r>
      <w:r w:rsidR="009F2646">
        <w:t>W</w:t>
      </w:r>
      <w:r w:rsidR="0032165D">
        <w:t>orkers</w:t>
      </w:r>
      <w:r w:rsidR="009F2646">
        <w:t>’ C</w:t>
      </w:r>
      <w:r w:rsidR="0032165D">
        <w:t xml:space="preserve">ompensation </w:t>
      </w:r>
      <w:r w:rsidR="009F2646">
        <w:t>A</w:t>
      </w:r>
      <w:r w:rsidRPr="004979D6">
        <w:t xml:space="preserve">ct that an individual self-insured employer </w:t>
      </w:r>
      <w:r w:rsidR="0032165D">
        <w:t>must</w:t>
      </w:r>
      <w:r w:rsidRPr="004979D6">
        <w:t xml:space="preserve"> </w:t>
      </w:r>
      <w:r w:rsidRPr="004979D6">
        <w:rPr>
          <w:spacing w:val="-1"/>
        </w:rPr>
        <w:t>maintain</w:t>
      </w:r>
      <w:r w:rsidR="0032165D">
        <w:rPr>
          <w:spacing w:val="-1"/>
        </w:rPr>
        <w:t xml:space="preserve"> to remain compliant with the standard.  </w:t>
      </w:r>
      <w:r w:rsidRPr="004979D6">
        <w:t>The subchapter establishes the criteria that the Bureau</w:t>
      </w:r>
      <w:r w:rsidR="007564D5">
        <w:t xml:space="preserve"> of Workers’ Compensation</w:t>
      </w:r>
      <w:r w:rsidR="0003376F">
        <w:t xml:space="preserve"> (BWC)</w:t>
      </w:r>
      <w:r w:rsidR="007564D5">
        <w:t xml:space="preserve"> </w:t>
      </w:r>
      <w:r w:rsidRPr="004979D6">
        <w:t xml:space="preserve">will employ in determining the </w:t>
      </w:r>
      <w:r w:rsidRPr="004979D6">
        <w:rPr>
          <w:spacing w:val="-2"/>
        </w:rPr>
        <w:t xml:space="preserve">adequacy of </w:t>
      </w:r>
      <w:r w:rsidR="007564D5">
        <w:rPr>
          <w:spacing w:val="-2"/>
        </w:rPr>
        <w:t xml:space="preserve">an </w:t>
      </w:r>
      <w:r w:rsidRPr="004979D6">
        <w:rPr>
          <w:spacing w:val="-2"/>
        </w:rPr>
        <w:t>accident and illness prevention program</w:t>
      </w:r>
      <w:r w:rsidR="009F2646">
        <w:rPr>
          <w:spacing w:val="-2"/>
        </w:rPr>
        <w:t xml:space="preserve"> (AIPP)</w:t>
      </w:r>
      <w:r w:rsidR="007564D5">
        <w:rPr>
          <w:spacing w:val="-2"/>
        </w:rPr>
        <w:t>.</w:t>
      </w:r>
      <w:r>
        <w:t xml:space="preserve">  </w:t>
      </w:r>
    </w:p>
    <w:p w:rsidR="004979D6" w:rsidRDefault="004979D6" w:rsidP="004979D6"/>
    <w:p w:rsidR="004979D6" w:rsidRPr="00C24027" w:rsidRDefault="004979D6" w:rsidP="004979D6">
      <w:pPr>
        <w:rPr>
          <w:b/>
          <w:u w:val="single"/>
        </w:rPr>
      </w:pPr>
      <w:r w:rsidRPr="00C24027">
        <w:rPr>
          <w:b/>
          <w:u w:val="single"/>
        </w:rPr>
        <w:t>Program Requirements</w:t>
      </w:r>
    </w:p>
    <w:p w:rsidR="004979D6" w:rsidRPr="000B405D" w:rsidRDefault="004979D6" w:rsidP="004979D6">
      <w:pPr>
        <w:numPr>
          <w:ilvl w:val="0"/>
          <w:numId w:val="2"/>
        </w:numPr>
        <w:rPr>
          <w:b/>
        </w:rPr>
      </w:pPr>
      <w:r w:rsidRPr="000B405D">
        <w:rPr>
          <w:b/>
        </w:rPr>
        <w:t xml:space="preserve">Accident Illness Prevention Program </w:t>
      </w:r>
      <w:r w:rsidR="007564D5">
        <w:rPr>
          <w:b/>
        </w:rPr>
        <w:t>Elements</w:t>
      </w:r>
    </w:p>
    <w:p w:rsidR="009F2646" w:rsidRDefault="00E04411" w:rsidP="00A4749D">
      <w:pPr>
        <w:numPr>
          <w:ilvl w:val="1"/>
          <w:numId w:val="2"/>
        </w:numPr>
      </w:pPr>
      <w:r>
        <w:t>Title 34, Chapter 129 expands on the requirements established by the Workers’ Compensation Act</w:t>
      </w:r>
      <w:r w:rsidR="0003376F">
        <w:t xml:space="preserve">.  The regulation </w:t>
      </w:r>
      <w:r>
        <w:t>contains 1</w:t>
      </w:r>
      <w:r w:rsidR="001E6F39">
        <w:t xml:space="preserve">6 required </w:t>
      </w:r>
      <w:r w:rsidR="0003376F">
        <w:t xml:space="preserve">program </w:t>
      </w:r>
      <w:r>
        <w:t xml:space="preserve">elements that must be maintained </w:t>
      </w:r>
      <w:r w:rsidR="0003376F">
        <w:t xml:space="preserve">as part of an adequate </w:t>
      </w:r>
      <w:r w:rsidR="009F2646">
        <w:t>AIPP</w:t>
      </w:r>
      <w:r w:rsidR="0003376F">
        <w:t xml:space="preserve">.  </w:t>
      </w:r>
    </w:p>
    <w:p w:rsidR="001E6F39" w:rsidRDefault="004434E9" w:rsidP="00A4749D">
      <w:pPr>
        <w:numPr>
          <w:ilvl w:val="1"/>
          <w:numId w:val="2"/>
        </w:numPr>
      </w:pPr>
      <w:r>
        <w:t>A list of the program</w:t>
      </w:r>
      <w:r w:rsidR="0003376F">
        <w:t xml:space="preserve"> elements </w:t>
      </w:r>
      <w:r w:rsidR="009F2646">
        <w:t>is</w:t>
      </w:r>
      <w:r w:rsidR="0003376F">
        <w:t xml:space="preserve"> found in s</w:t>
      </w:r>
      <w:r>
        <w:t xml:space="preserve">ection 3; </w:t>
      </w:r>
      <w:r w:rsidR="00132CD9">
        <w:t>p</w:t>
      </w:r>
      <w:r>
        <w:t xml:space="preserve">age 2 of </w:t>
      </w:r>
      <w:r w:rsidR="0003376F">
        <w:t xml:space="preserve">the </w:t>
      </w:r>
      <w:r>
        <w:t xml:space="preserve">Annual Report of Accident and Illness Prevention Program </w:t>
      </w:r>
      <w:r w:rsidR="0003376F">
        <w:t xml:space="preserve">Status </w:t>
      </w:r>
      <w:r>
        <w:t>(LIBC-220E).</w:t>
      </w:r>
      <w:r w:rsidR="0003376F">
        <w:t xml:space="preserve">  </w:t>
      </w:r>
      <w:r w:rsidR="0003376F" w:rsidRPr="0003376F">
        <w:t xml:space="preserve">A </w:t>
      </w:r>
      <w:r w:rsidRPr="0003376F">
        <w:t xml:space="preserve">copy of the LIBC-220E </w:t>
      </w:r>
      <w:r w:rsidR="0003376F">
        <w:t xml:space="preserve">form </w:t>
      </w:r>
      <w:r w:rsidRPr="0003376F">
        <w:t>is provide</w:t>
      </w:r>
      <w:r w:rsidR="00A4749D" w:rsidRPr="0003376F">
        <w:t>d</w:t>
      </w:r>
      <w:r w:rsidRPr="0003376F">
        <w:t xml:space="preserve"> in </w:t>
      </w:r>
      <w:r w:rsidR="0003376F">
        <w:t>s</w:t>
      </w:r>
      <w:r w:rsidRPr="0003376F">
        <w:t>ection VII</w:t>
      </w:r>
      <w:r w:rsidR="009F2646">
        <w:t>,</w:t>
      </w:r>
      <w:r w:rsidRPr="0003376F">
        <w:t xml:space="preserve"> and </w:t>
      </w:r>
      <w:r w:rsidR="0003376F">
        <w:t>the commonwealth’s requirements for each of the program elements are covered in s</w:t>
      </w:r>
      <w:r w:rsidRPr="0003376F">
        <w:t>ection I</w:t>
      </w:r>
      <w:r w:rsidR="00091F81">
        <w:t>V</w:t>
      </w:r>
      <w:r w:rsidRPr="0003376F">
        <w:t xml:space="preserve"> of </w:t>
      </w:r>
      <w:r w:rsidR="0003376F">
        <w:t xml:space="preserve">this </w:t>
      </w:r>
      <w:r w:rsidR="001E6F39" w:rsidRPr="0003376F">
        <w:t>orientation</w:t>
      </w:r>
      <w:r w:rsidR="0003376F">
        <w:t>.</w:t>
      </w:r>
    </w:p>
    <w:p w:rsidR="009F2646" w:rsidRPr="001E6F39" w:rsidRDefault="009F2646" w:rsidP="009F2646">
      <w:pPr>
        <w:ind w:left="1080"/>
      </w:pPr>
    </w:p>
    <w:p w:rsidR="00D06C31" w:rsidRPr="000B405D" w:rsidRDefault="00D06C31" w:rsidP="00D06C31">
      <w:pPr>
        <w:numPr>
          <w:ilvl w:val="0"/>
          <w:numId w:val="2"/>
        </w:numPr>
        <w:rPr>
          <w:b/>
        </w:rPr>
      </w:pPr>
      <w:r w:rsidRPr="000B405D">
        <w:rPr>
          <w:b/>
        </w:rPr>
        <w:t xml:space="preserve">Recordkeeping </w:t>
      </w:r>
    </w:p>
    <w:p w:rsidR="00E04411" w:rsidRPr="00E04411" w:rsidRDefault="00C4563A" w:rsidP="006E1CFF">
      <w:pPr>
        <w:numPr>
          <w:ilvl w:val="1"/>
          <w:numId w:val="2"/>
        </w:numPr>
        <w:tabs>
          <w:tab w:val="num" w:pos="1944"/>
        </w:tabs>
        <w:rPr>
          <w:sz w:val="22"/>
          <w:szCs w:val="22"/>
        </w:rPr>
      </w:pPr>
      <w:r>
        <w:t xml:space="preserve">An individual self-insured employer shall maintain an adequate </w:t>
      </w:r>
      <w:r w:rsidR="009F2646">
        <w:t>AIPP</w:t>
      </w:r>
      <w:r>
        <w:t xml:space="preserve"> and maintain records for this program for the 3 most current and complete fiscal years.</w:t>
      </w:r>
      <w:r w:rsidR="003A659D">
        <w:t xml:space="preserve"> </w:t>
      </w:r>
    </w:p>
    <w:p w:rsidR="006E1CFF" w:rsidRPr="00033FF3" w:rsidRDefault="00033FF3" w:rsidP="006E1CFF">
      <w:pPr>
        <w:numPr>
          <w:ilvl w:val="1"/>
          <w:numId w:val="2"/>
        </w:numPr>
        <w:tabs>
          <w:tab w:val="num" w:pos="1944"/>
        </w:tabs>
      </w:pPr>
      <w:r>
        <w:rPr>
          <w:spacing w:val="-1"/>
        </w:rPr>
        <w:t>I</w:t>
      </w:r>
      <w:r w:rsidR="00D06C31" w:rsidRPr="00033FF3">
        <w:rPr>
          <w:spacing w:val="-1"/>
        </w:rPr>
        <w:t xml:space="preserve">ndividual self-insured employers shall </w:t>
      </w:r>
      <w:r>
        <w:rPr>
          <w:spacing w:val="-1"/>
        </w:rPr>
        <w:t xml:space="preserve">also </w:t>
      </w:r>
      <w:r w:rsidR="00D06C31" w:rsidRPr="00033FF3">
        <w:rPr>
          <w:spacing w:val="-1"/>
        </w:rPr>
        <w:t xml:space="preserve">maintain </w:t>
      </w:r>
      <w:r w:rsidR="005748C8">
        <w:rPr>
          <w:spacing w:val="-1"/>
        </w:rPr>
        <w:t xml:space="preserve">data used to evaluate the effectiveness of the AIPP for </w:t>
      </w:r>
      <w:r w:rsidR="00D06C31" w:rsidRPr="00033FF3">
        <w:rPr>
          <w:spacing w:val="-3"/>
        </w:rPr>
        <w:t>the most current complete fiscal year and 2 preceding consecutive fiscal years.</w:t>
      </w:r>
      <w:r>
        <w:rPr>
          <w:spacing w:val="-3"/>
        </w:rPr>
        <w:t xml:space="preserve">  </w:t>
      </w:r>
      <w:r w:rsidR="00D06C31" w:rsidRPr="00033FF3">
        <w:t>Those records shall contain at a minimum</w:t>
      </w:r>
      <w:r w:rsidR="006E1CFF" w:rsidRPr="00033FF3">
        <w:t>:</w:t>
      </w:r>
    </w:p>
    <w:p w:rsidR="006E1CFF" w:rsidRPr="00033FF3" w:rsidRDefault="006E1CFF" w:rsidP="006E1CFF">
      <w:pPr>
        <w:numPr>
          <w:ilvl w:val="2"/>
          <w:numId w:val="2"/>
        </w:numPr>
        <w:tabs>
          <w:tab w:val="num" w:pos="1944"/>
        </w:tabs>
      </w:pPr>
      <w:r w:rsidRPr="00033FF3">
        <w:t>The annual calculated rates for the methods chosen</w:t>
      </w:r>
      <w:r w:rsidR="00033FF3">
        <w:t>.</w:t>
      </w:r>
    </w:p>
    <w:p w:rsidR="006E1CFF" w:rsidRPr="00033FF3" w:rsidRDefault="006E1CFF" w:rsidP="006E1CFF">
      <w:pPr>
        <w:numPr>
          <w:ilvl w:val="2"/>
          <w:numId w:val="2"/>
        </w:numPr>
        <w:tabs>
          <w:tab w:val="num" w:pos="1944"/>
        </w:tabs>
        <w:rPr>
          <w:spacing w:val="2"/>
        </w:rPr>
      </w:pPr>
      <w:r w:rsidRPr="00033FF3">
        <w:t>A copy of the calculations used to determine the annual rates</w:t>
      </w:r>
      <w:r w:rsidR="006A2C49">
        <w:t>.</w:t>
      </w:r>
    </w:p>
    <w:p w:rsidR="006E1CFF" w:rsidRPr="00033FF3" w:rsidRDefault="006E1CFF" w:rsidP="006E1CFF">
      <w:pPr>
        <w:numPr>
          <w:ilvl w:val="2"/>
          <w:numId w:val="2"/>
        </w:numPr>
        <w:tabs>
          <w:tab w:val="num" w:pos="1944"/>
        </w:tabs>
        <w:rPr>
          <w:spacing w:val="2"/>
        </w:rPr>
      </w:pPr>
      <w:r w:rsidRPr="00033FF3">
        <w:rPr>
          <w:spacing w:val="2"/>
        </w:rPr>
        <w:t>A copy of the sources containing the complete data used in calculating the annual rates</w:t>
      </w:r>
      <w:r w:rsidR="00033FF3">
        <w:rPr>
          <w:spacing w:val="2"/>
        </w:rPr>
        <w:t>.</w:t>
      </w:r>
    </w:p>
    <w:p w:rsidR="006E1CFF" w:rsidRDefault="006E1CFF" w:rsidP="006E1CFF">
      <w:pPr>
        <w:rPr>
          <w:b/>
          <w:u w:val="single"/>
        </w:rPr>
      </w:pPr>
    </w:p>
    <w:p w:rsidR="006E1CFF" w:rsidRPr="00C24027" w:rsidRDefault="006E1CFF" w:rsidP="006E1CFF">
      <w:pPr>
        <w:rPr>
          <w:b/>
          <w:u w:val="single"/>
        </w:rPr>
      </w:pPr>
      <w:r w:rsidRPr="00C24027">
        <w:rPr>
          <w:b/>
          <w:u w:val="single"/>
        </w:rPr>
        <w:t>Service Provider Requirements</w:t>
      </w:r>
    </w:p>
    <w:p w:rsidR="0026555F" w:rsidRPr="005C648B" w:rsidRDefault="009F2646" w:rsidP="009E73B1">
      <w:pPr>
        <w:numPr>
          <w:ilvl w:val="0"/>
          <w:numId w:val="5"/>
        </w:numPr>
        <w:rPr>
          <w:i/>
          <w:spacing w:val="-1"/>
        </w:rPr>
      </w:pPr>
      <w:r w:rsidRPr="005C648B">
        <w:rPr>
          <w:spacing w:val="1"/>
        </w:rPr>
        <w:t>AIPP</w:t>
      </w:r>
      <w:r w:rsidR="006E1CFF" w:rsidRPr="005C648B">
        <w:rPr>
          <w:spacing w:val="1"/>
        </w:rPr>
        <w:t xml:space="preserve"> service providers employed by an individual self-insured employer</w:t>
      </w:r>
      <w:r w:rsidR="006E1CFF" w:rsidRPr="00C24027">
        <w:rPr>
          <w:spacing w:val="1"/>
        </w:rPr>
        <w:t xml:space="preserve"> </w:t>
      </w:r>
      <w:r w:rsidR="006E1CFF" w:rsidRPr="00C24027">
        <w:rPr>
          <w:spacing w:val="3"/>
        </w:rPr>
        <w:t xml:space="preserve">or serving through a contract to perform </w:t>
      </w:r>
      <w:r>
        <w:rPr>
          <w:spacing w:val="3"/>
        </w:rPr>
        <w:t xml:space="preserve">AIPP </w:t>
      </w:r>
      <w:r w:rsidR="006E1CFF" w:rsidRPr="00C24027">
        <w:rPr>
          <w:spacing w:val="3"/>
        </w:rPr>
        <w:t xml:space="preserve">services shall meet the </w:t>
      </w:r>
      <w:r w:rsidR="006E1CFF" w:rsidRPr="00C24027">
        <w:rPr>
          <w:spacing w:val="-1"/>
        </w:rPr>
        <w:t>requirements in Subchapter E of the PA code Title 34 Chapter 129</w:t>
      </w:r>
      <w:r w:rsidR="006E1CFF" w:rsidRPr="00660E52">
        <w:rPr>
          <w:i/>
          <w:spacing w:val="-1"/>
        </w:rPr>
        <w:t xml:space="preserve">.  </w:t>
      </w:r>
      <w:r w:rsidR="009E73B1" w:rsidRPr="00660E52">
        <w:rPr>
          <w:i/>
          <w:spacing w:val="-1"/>
        </w:rPr>
        <w:t>(</w:t>
      </w:r>
      <w:r w:rsidR="00792290" w:rsidRPr="00660E52">
        <w:rPr>
          <w:i/>
          <w:spacing w:val="-1"/>
        </w:rPr>
        <w:t xml:space="preserve">A list of </w:t>
      </w:r>
      <w:r w:rsidR="00D714B4" w:rsidRPr="00660E52">
        <w:rPr>
          <w:i/>
          <w:spacing w:val="-1"/>
        </w:rPr>
        <w:t>servic</w:t>
      </w:r>
      <w:r w:rsidR="009E73B1" w:rsidRPr="00660E52">
        <w:rPr>
          <w:i/>
          <w:spacing w:val="-1"/>
        </w:rPr>
        <w:t>e provider</w:t>
      </w:r>
      <w:r w:rsidR="00792290" w:rsidRPr="00660E52">
        <w:rPr>
          <w:i/>
          <w:spacing w:val="-1"/>
        </w:rPr>
        <w:t xml:space="preserve"> qualifications</w:t>
      </w:r>
      <w:r w:rsidR="009E73B1" w:rsidRPr="00660E52">
        <w:rPr>
          <w:i/>
          <w:spacing w:val="-1"/>
        </w:rPr>
        <w:t xml:space="preserve"> is available in item 6; </w:t>
      </w:r>
      <w:r w:rsidR="00792290" w:rsidRPr="00660E52">
        <w:rPr>
          <w:i/>
          <w:spacing w:val="-1"/>
        </w:rPr>
        <w:t>p</w:t>
      </w:r>
      <w:r w:rsidR="009E73B1" w:rsidRPr="00660E52">
        <w:rPr>
          <w:i/>
          <w:spacing w:val="-1"/>
        </w:rPr>
        <w:t>age 1</w:t>
      </w:r>
      <w:r w:rsidR="00660E52" w:rsidRPr="00660E52">
        <w:rPr>
          <w:i/>
          <w:spacing w:val="-1"/>
        </w:rPr>
        <w:t>2</w:t>
      </w:r>
      <w:r w:rsidR="00660E52" w:rsidRPr="00660E52">
        <w:rPr>
          <w:i/>
        </w:rPr>
        <w:t xml:space="preserve"> of the Annual Report of Accident and Illness Prevention </w:t>
      </w:r>
      <w:r w:rsidR="00660E52" w:rsidRPr="005C648B">
        <w:rPr>
          <w:i/>
        </w:rPr>
        <w:t>Program Status (LIBC-220E</w:t>
      </w:r>
      <w:r w:rsidR="00156B45" w:rsidRPr="005C648B">
        <w:rPr>
          <w:i/>
        </w:rPr>
        <w:t>) form</w:t>
      </w:r>
      <w:r w:rsidR="00660E52" w:rsidRPr="005C648B">
        <w:rPr>
          <w:i/>
          <w:spacing w:val="-1"/>
        </w:rPr>
        <w:t xml:space="preserve"> </w:t>
      </w:r>
      <w:r w:rsidR="00792290" w:rsidRPr="005C648B">
        <w:rPr>
          <w:i/>
          <w:spacing w:val="-1"/>
        </w:rPr>
        <w:t>i</w:t>
      </w:r>
      <w:r w:rsidR="009E73B1" w:rsidRPr="005C648B">
        <w:rPr>
          <w:i/>
          <w:spacing w:val="-1"/>
        </w:rPr>
        <w:t>n</w:t>
      </w:r>
      <w:r w:rsidR="00156B45" w:rsidRPr="005C648B">
        <w:rPr>
          <w:i/>
          <w:spacing w:val="-1"/>
        </w:rPr>
        <w:t xml:space="preserve"> section </w:t>
      </w:r>
      <w:r w:rsidR="009E73B1" w:rsidRPr="005C648B">
        <w:rPr>
          <w:i/>
          <w:spacing w:val="-1"/>
        </w:rPr>
        <w:t>VII of your Orientation Manual)</w:t>
      </w:r>
      <w:r w:rsidR="00792290" w:rsidRPr="005C648B">
        <w:rPr>
          <w:i/>
          <w:spacing w:val="-1"/>
        </w:rPr>
        <w:t>.</w:t>
      </w:r>
    </w:p>
    <w:p w:rsidR="006E1CFF" w:rsidRPr="005C648B" w:rsidRDefault="006E1CFF" w:rsidP="006E1CFF">
      <w:pPr>
        <w:numPr>
          <w:ilvl w:val="0"/>
          <w:numId w:val="5"/>
        </w:numPr>
        <w:spacing w:before="216"/>
      </w:pPr>
      <w:r w:rsidRPr="005C648B">
        <w:t xml:space="preserve">The Bureau may require that the individual self-insured employer provide documentation or evidence to support that the requirements for accident and illness prevention services providers have been met by </w:t>
      </w:r>
      <w:r w:rsidRPr="005C648B">
        <w:rPr>
          <w:spacing w:val="-1"/>
        </w:rPr>
        <w:t xml:space="preserve">each individual providing accident and illness prevention services, whether employed or under contract, </w:t>
      </w:r>
      <w:r w:rsidRPr="005C648B">
        <w:t>based on the criteria in Subchapter E</w:t>
      </w:r>
      <w:r w:rsidR="0026555F" w:rsidRPr="005C648B">
        <w:t xml:space="preserve"> and outlined above</w:t>
      </w:r>
      <w:r w:rsidRPr="005C648B">
        <w:t>.</w:t>
      </w:r>
    </w:p>
    <w:p w:rsidR="00AB08DA" w:rsidRPr="00C24027" w:rsidRDefault="00AB08DA" w:rsidP="00AB08DA">
      <w:pPr>
        <w:spacing w:before="216"/>
        <w:ind w:left="360"/>
      </w:pPr>
    </w:p>
    <w:p w:rsidR="0026555F" w:rsidRPr="00C24027" w:rsidRDefault="000B405D" w:rsidP="000B405D">
      <w:pPr>
        <w:rPr>
          <w:b/>
          <w:u w:val="single"/>
        </w:rPr>
      </w:pPr>
      <w:r w:rsidRPr="00C24027">
        <w:rPr>
          <w:b/>
          <w:u w:val="single"/>
        </w:rPr>
        <w:lastRenderedPageBreak/>
        <w:t>Reporting Requirements</w:t>
      </w:r>
    </w:p>
    <w:p w:rsidR="000B405D" w:rsidRDefault="000B405D" w:rsidP="000B405D">
      <w:pPr>
        <w:numPr>
          <w:ilvl w:val="0"/>
          <w:numId w:val="6"/>
        </w:numPr>
      </w:pPr>
      <w:r>
        <w:t xml:space="preserve">All self-insured employers must complete and submit </w:t>
      </w:r>
      <w:r w:rsidRPr="000B405D">
        <w:t>Form LIBC-220E, Annual Report of Accident and Illness Prevention Program Status, which provides detailed information about a self-insure</w:t>
      </w:r>
      <w:r>
        <w:t>d employer's prevention program</w:t>
      </w:r>
      <w:r w:rsidRPr="000B405D">
        <w:t>.</w:t>
      </w:r>
      <w:r>
        <w:t xml:space="preserve">  </w:t>
      </w:r>
      <w:r w:rsidR="00076E72">
        <w:rPr>
          <w:i/>
        </w:rPr>
        <w:t>(A</w:t>
      </w:r>
      <w:r>
        <w:rPr>
          <w:i/>
        </w:rPr>
        <w:t xml:space="preserve"> copy of LIBC-220E</w:t>
      </w:r>
      <w:r w:rsidR="00076E72">
        <w:rPr>
          <w:i/>
        </w:rPr>
        <w:t xml:space="preserve"> is provide</w:t>
      </w:r>
      <w:r w:rsidR="00091FDD">
        <w:rPr>
          <w:i/>
        </w:rPr>
        <w:t>d</w:t>
      </w:r>
      <w:r w:rsidR="00076E72">
        <w:rPr>
          <w:i/>
        </w:rPr>
        <w:t xml:space="preserve"> in section</w:t>
      </w:r>
      <w:r w:rsidR="00A4749D">
        <w:rPr>
          <w:i/>
        </w:rPr>
        <w:t xml:space="preserve"> VII</w:t>
      </w:r>
      <w:r w:rsidR="00076E72">
        <w:rPr>
          <w:i/>
        </w:rPr>
        <w:t xml:space="preserve"> of </w:t>
      </w:r>
      <w:r w:rsidR="009E73B1">
        <w:rPr>
          <w:i/>
        </w:rPr>
        <w:t xml:space="preserve">your orientation </w:t>
      </w:r>
      <w:r w:rsidR="00076E72">
        <w:rPr>
          <w:i/>
        </w:rPr>
        <w:t>manual</w:t>
      </w:r>
      <w:r w:rsidR="00792290">
        <w:rPr>
          <w:i/>
        </w:rPr>
        <w:t>)</w:t>
      </w:r>
      <w:r w:rsidR="00792290">
        <w:t>.</w:t>
      </w:r>
    </w:p>
    <w:p w:rsidR="0097251B" w:rsidRPr="00323E81" w:rsidRDefault="0097251B" w:rsidP="0097251B">
      <w:pPr>
        <w:ind w:left="360"/>
      </w:pPr>
    </w:p>
    <w:p w:rsidR="00076E72" w:rsidRDefault="00323E81" w:rsidP="009F2646">
      <w:pPr>
        <w:numPr>
          <w:ilvl w:val="0"/>
          <w:numId w:val="6"/>
        </w:numPr>
      </w:pPr>
      <w:r w:rsidRPr="00323E81">
        <w:t>Up</w:t>
      </w:r>
      <w:r>
        <w:t xml:space="preserve">on receipt of </w:t>
      </w:r>
      <w:r w:rsidR="0097251B">
        <w:t xml:space="preserve">the annual reports, the BWC </w:t>
      </w:r>
      <w:r w:rsidRPr="00323E81">
        <w:t xml:space="preserve">will review the data and make a final determination of </w:t>
      </w:r>
      <w:r w:rsidR="0097251B">
        <w:t xml:space="preserve">program </w:t>
      </w:r>
      <w:r w:rsidRPr="00323E81">
        <w:t>adequacy or an initial determination of inadequacy</w:t>
      </w:r>
      <w:r w:rsidR="0097251B">
        <w:t>.</w:t>
      </w:r>
      <w:r w:rsidRPr="00323E81">
        <w:t xml:space="preserve"> </w:t>
      </w:r>
    </w:p>
    <w:p w:rsidR="00323E81" w:rsidRDefault="00323E81" w:rsidP="0097251B">
      <w:pPr>
        <w:numPr>
          <w:ilvl w:val="0"/>
          <w:numId w:val="23"/>
        </w:numPr>
      </w:pPr>
      <w:r w:rsidRPr="00323E81">
        <w:t>An inadequate determination may result in an audit before a final determination is made. The Bureau will provide notification to the employer of its final determination.</w:t>
      </w:r>
    </w:p>
    <w:p w:rsidR="009E73B1" w:rsidRDefault="009E73B1" w:rsidP="00323E81">
      <w:pPr>
        <w:rPr>
          <w:b/>
          <w:u w:val="single"/>
        </w:rPr>
      </w:pPr>
    </w:p>
    <w:p w:rsidR="00323E81" w:rsidRPr="00AA447B" w:rsidRDefault="00323E81" w:rsidP="00323E81">
      <w:pPr>
        <w:rPr>
          <w:b/>
          <w:color w:val="0000FF"/>
          <w:u w:val="single"/>
        </w:rPr>
      </w:pPr>
      <w:r w:rsidRPr="00C24027">
        <w:rPr>
          <w:b/>
          <w:u w:val="single"/>
        </w:rPr>
        <w:t>Recordkeeping Requirements</w:t>
      </w:r>
      <w:r w:rsidR="009F2646">
        <w:rPr>
          <w:b/>
          <w:u w:val="single"/>
        </w:rPr>
        <w:t xml:space="preserve"> </w:t>
      </w:r>
    </w:p>
    <w:p w:rsidR="00323E81" w:rsidRDefault="00323E81" w:rsidP="00323E81">
      <w:pPr>
        <w:numPr>
          <w:ilvl w:val="0"/>
          <w:numId w:val="9"/>
        </w:numPr>
        <w:rPr>
          <w:color w:val="000000"/>
        </w:rPr>
      </w:pPr>
      <w:r w:rsidRPr="00323E81">
        <w:rPr>
          <w:color w:val="000000"/>
        </w:rPr>
        <w:t>Individual self-insured employers shall maintain records of accident and illness prevention program services for the most complete fiscal year and 2 preceding consecutive fiscal years which include: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Number and dates of surveys conducted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Proposed corrective actions and their disposition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Training programs conducted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Consultations held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Analyses of accident causes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Industrial hygiene services provided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Industrial health services provided</w:t>
      </w:r>
      <w:r w:rsidR="008D62CB">
        <w:rPr>
          <w:color w:val="000000"/>
        </w:rPr>
        <w:t>.</w:t>
      </w:r>
    </w:p>
    <w:p w:rsidR="00323E81" w:rsidRDefault="00323E81" w:rsidP="00323E81">
      <w:pPr>
        <w:numPr>
          <w:ilvl w:val="1"/>
          <w:numId w:val="9"/>
        </w:numPr>
        <w:rPr>
          <w:color w:val="000000"/>
        </w:rPr>
      </w:pPr>
      <w:r w:rsidRPr="00323E81">
        <w:rPr>
          <w:color w:val="000000"/>
        </w:rPr>
        <w:t>Qualified service providers utilized to provide program services whether contracted or employed</w:t>
      </w:r>
      <w:r w:rsidR="008D62CB">
        <w:rPr>
          <w:color w:val="000000"/>
        </w:rPr>
        <w:t>.</w:t>
      </w:r>
    </w:p>
    <w:p w:rsidR="00323E81" w:rsidRDefault="00323E81" w:rsidP="006E1CFF">
      <w:pPr>
        <w:rPr>
          <w:b/>
          <w:sz w:val="28"/>
          <w:szCs w:val="28"/>
          <w:u w:val="single"/>
        </w:rPr>
      </w:pPr>
    </w:p>
    <w:p w:rsidR="006E1CFF" w:rsidRPr="00166922" w:rsidRDefault="00323E81" w:rsidP="006E1CFF">
      <w:pPr>
        <w:rPr>
          <w:b/>
          <w:u w:val="single"/>
        </w:rPr>
      </w:pPr>
      <w:r w:rsidRPr="00166922">
        <w:rPr>
          <w:b/>
          <w:u w:val="single"/>
        </w:rPr>
        <w:t>Audit Requirements</w:t>
      </w:r>
      <w:r w:rsidR="009F2646" w:rsidRPr="00166922">
        <w:rPr>
          <w:b/>
          <w:u w:val="single"/>
        </w:rPr>
        <w:t xml:space="preserve"> </w:t>
      </w:r>
    </w:p>
    <w:p w:rsidR="00323E81" w:rsidRPr="00166922" w:rsidRDefault="00323E81" w:rsidP="00933D36">
      <w:pPr>
        <w:numPr>
          <w:ilvl w:val="0"/>
          <w:numId w:val="10"/>
        </w:numPr>
        <w:rPr>
          <w:color w:val="000000"/>
        </w:rPr>
      </w:pPr>
      <w:r w:rsidRPr="00166922">
        <w:rPr>
          <w:color w:val="000000"/>
        </w:rPr>
        <w:t>The Bureau may audit an individual self-insured employer's accident and illness prevention program at least once every 2 years.</w:t>
      </w:r>
    </w:p>
    <w:p w:rsidR="00323E81" w:rsidRPr="00166922" w:rsidRDefault="00323E81" w:rsidP="00933D36">
      <w:pPr>
        <w:numPr>
          <w:ilvl w:val="0"/>
          <w:numId w:val="10"/>
        </w:numPr>
        <w:rPr>
          <w:color w:val="000000"/>
        </w:rPr>
      </w:pPr>
      <w:r w:rsidRPr="00166922">
        <w:rPr>
          <w:color w:val="000000"/>
        </w:rPr>
        <w:t>A combined audit may be conducted for affiliated companies of an individual self-insured employer if the same facilities, accident and illness prevention program, and accident and illness prevention services providers are used by each of the companies.</w:t>
      </w:r>
    </w:p>
    <w:p w:rsidR="00323E81" w:rsidRPr="00166922" w:rsidRDefault="00323E81" w:rsidP="00933D36">
      <w:pPr>
        <w:numPr>
          <w:ilvl w:val="0"/>
          <w:numId w:val="10"/>
        </w:numPr>
        <w:rPr>
          <w:color w:val="000000"/>
        </w:rPr>
      </w:pPr>
      <w:r w:rsidRPr="00166922">
        <w:rPr>
          <w:color w:val="000000"/>
        </w:rPr>
        <w:t>The Bureau may audit an individual self-insured employer's accident and illness prevention program if the individual self-insured employer fails to file an AIPP</w:t>
      </w:r>
      <w:r w:rsidR="00076E72" w:rsidRPr="00166922">
        <w:rPr>
          <w:color w:val="000000"/>
        </w:rPr>
        <w:t xml:space="preserve"> annual report </w:t>
      </w:r>
      <w:r w:rsidRPr="00166922">
        <w:rPr>
          <w:color w:val="000000"/>
        </w:rPr>
        <w:t>by specified time frames or fails to meet the requirements of this subchapter.</w:t>
      </w:r>
    </w:p>
    <w:p w:rsidR="00323E81" w:rsidRPr="00166922" w:rsidRDefault="00323E81" w:rsidP="00933D36">
      <w:pPr>
        <w:numPr>
          <w:ilvl w:val="0"/>
          <w:numId w:val="10"/>
        </w:numPr>
        <w:rPr>
          <w:color w:val="000000"/>
        </w:rPr>
      </w:pPr>
      <w:r w:rsidRPr="00166922">
        <w:rPr>
          <w:color w:val="000000"/>
        </w:rPr>
        <w:t>The notice of the audit will include the reasons for audit.</w:t>
      </w:r>
    </w:p>
    <w:p w:rsidR="00933D36" w:rsidRPr="00166922" w:rsidRDefault="00323E81" w:rsidP="00933D36">
      <w:pPr>
        <w:numPr>
          <w:ilvl w:val="0"/>
          <w:numId w:val="10"/>
        </w:numPr>
        <w:rPr>
          <w:color w:val="000000"/>
        </w:rPr>
      </w:pPr>
      <w:r w:rsidRPr="00166922">
        <w:rPr>
          <w:color w:val="000000"/>
        </w:rPr>
        <w:t>At least 60 calendar days prior to an audit, the Bureau will notify the individual self-insured employer in writing of the date on which the audit will occur.</w:t>
      </w:r>
    </w:p>
    <w:p w:rsidR="00933D36" w:rsidRDefault="00933D36" w:rsidP="00933D36">
      <w:pPr>
        <w:rPr>
          <w:color w:val="000000"/>
        </w:rPr>
      </w:pPr>
    </w:p>
    <w:p w:rsidR="00933D36" w:rsidRPr="00933D36" w:rsidRDefault="00933D36" w:rsidP="00933D36">
      <w:pPr>
        <w:rPr>
          <w:b/>
          <w:color w:val="000000"/>
          <w:sz w:val="28"/>
          <w:szCs w:val="28"/>
          <w:u w:val="single"/>
        </w:rPr>
      </w:pPr>
    </w:p>
    <w:sectPr w:rsidR="00933D36" w:rsidRPr="00933D36" w:rsidSect="009C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868"/>
    <w:multiLevelType w:val="hybridMultilevel"/>
    <w:tmpl w:val="B7DA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8F95"/>
    <w:multiLevelType w:val="singleLevel"/>
    <w:tmpl w:val="43CBE029"/>
    <w:lvl w:ilvl="0">
      <w:start w:val="1"/>
      <w:numFmt w:val="lowerRoman"/>
      <w:lvlText w:val="(%1)"/>
      <w:lvlJc w:val="left"/>
      <w:pPr>
        <w:tabs>
          <w:tab w:val="num" w:pos="648"/>
        </w:tabs>
        <w:ind w:left="1872"/>
      </w:pPr>
      <w:rPr>
        <w:snapToGrid/>
        <w:spacing w:val="-2"/>
        <w:sz w:val="22"/>
        <w:szCs w:val="22"/>
      </w:rPr>
    </w:lvl>
  </w:abstractNum>
  <w:abstractNum w:abstractNumId="2">
    <w:nsid w:val="03516E2D"/>
    <w:multiLevelType w:val="multilevel"/>
    <w:tmpl w:val="8BA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F3AAB"/>
    <w:multiLevelType w:val="hybridMultilevel"/>
    <w:tmpl w:val="F042A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367AC"/>
    <w:multiLevelType w:val="multilevel"/>
    <w:tmpl w:val="B962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F1995"/>
    <w:multiLevelType w:val="hybridMultilevel"/>
    <w:tmpl w:val="FBE2C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00874"/>
    <w:multiLevelType w:val="hybridMultilevel"/>
    <w:tmpl w:val="11BA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30996"/>
    <w:multiLevelType w:val="hybridMultilevel"/>
    <w:tmpl w:val="C2FEF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222D7"/>
    <w:multiLevelType w:val="hybridMultilevel"/>
    <w:tmpl w:val="6F38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335A3"/>
    <w:multiLevelType w:val="hybridMultilevel"/>
    <w:tmpl w:val="DB96A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244AC"/>
    <w:multiLevelType w:val="hybridMultilevel"/>
    <w:tmpl w:val="8BA83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B33FD"/>
    <w:multiLevelType w:val="hybridMultilevel"/>
    <w:tmpl w:val="544EB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48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B122B"/>
    <w:multiLevelType w:val="multilevel"/>
    <w:tmpl w:val="CEC4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305E1"/>
    <w:multiLevelType w:val="hybridMultilevel"/>
    <w:tmpl w:val="7FCA0100"/>
    <w:lvl w:ilvl="0" w:tplc="E1DE8C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0D5112"/>
    <w:multiLevelType w:val="hybridMultilevel"/>
    <w:tmpl w:val="AF783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1773B"/>
    <w:multiLevelType w:val="multilevel"/>
    <w:tmpl w:val="9D8C78CE"/>
    <w:lvl w:ilvl="0">
      <w:start w:val="2"/>
      <w:numFmt w:val="upperLetter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75692"/>
    <w:multiLevelType w:val="multilevel"/>
    <w:tmpl w:val="D728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54C49"/>
    <w:multiLevelType w:val="hybridMultilevel"/>
    <w:tmpl w:val="86143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97A8A"/>
    <w:multiLevelType w:val="hybridMultilevel"/>
    <w:tmpl w:val="D728B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07A7A"/>
    <w:multiLevelType w:val="hybridMultilevel"/>
    <w:tmpl w:val="F43E9F88"/>
    <w:lvl w:ilvl="0" w:tplc="918AF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C360C"/>
    <w:multiLevelType w:val="multilevel"/>
    <w:tmpl w:val="A4DCF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40B3B87"/>
    <w:multiLevelType w:val="hybridMultilevel"/>
    <w:tmpl w:val="EA10E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1260D3"/>
    <w:multiLevelType w:val="hybridMultilevel"/>
    <w:tmpl w:val="A4DCF3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F6F4F71"/>
    <w:multiLevelType w:val="hybridMultilevel"/>
    <w:tmpl w:val="B2E6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B46D8E"/>
    <w:multiLevelType w:val="hybridMultilevel"/>
    <w:tmpl w:val="9D8C78CE"/>
    <w:lvl w:ilvl="0" w:tplc="D174E5E6">
      <w:start w:val="2"/>
      <w:numFmt w:val="upperLetter"/>
      <w:lvlText w:val="%1."/>
      <w:lvlJc w:val="right"/>
      <w:pPr>
        <w:tabs>
          <w:tab w:val="num" w:pos="216"/>
        </w:tabs>
        <w:ind w:left="216" w:hanging="216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8519E"/>
    <w:multiLevelType w:val="hybridMultilevel"/>
    <w:tmpl w:val="8BE8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19"/>
  </w:num>
  <w:num w:numId="6">
    <w:abstractNumId w:val="5"/>
  </w:num>
  <w:num w:numId="7">
    <w:abstractNumId w:val="25"/>
  </w:num>
  <w:num w:numId="8">
    <w:abstractNumId w:val="8"/>
  </w:num>
  <w:num w:numId="9">
    <w:abstractNumId w:val="18"/>
  </w:num>
  <w:num w:numId="10">
    <w:abstractNumId w:val="23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17"/>
  </w:num>
  <w:num w:numId="16">
    <w:abstractNumId w:val="14"/>
  </w:num>
  <w:num w:numId="17">
    <w:abstractNumId w:val="0"/>
  </w:num>
  <w:num w:numId="18">
    <w:abstractNumId w:val="10"/>
  </w:num>
  <w:num w:numId="19">
    <w:abstractNumId w:val="22"/>
  </w:num>
  <w:num w:numId="20">
    <w:abstractNumId w:val="24"/>
  </w:num>
  <w:num w:numId="21">
    <w:abstractNumId w:val="16"/>
  </w:num>
  <w:num w:numId="22">
    <w:abstractNumId w:val="20"/>
  </w:num>
  <w:num w:numId="23">
    <w:abstractNumId w:val="13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9D6"/>
    <w:rsid w:val="0003376F"/>
    <w:rsid w:val="00033FF3"/>
    <w:rsid w:val="00076E72"/>
    <w:rsid w:val="00091F81"/>
    <w:rsid w:val="00091FDD"/>
    <w:rsid w:val="000B405D"/>
    <w:rsid w:val="00132CD9"/>
    <w:rsid w:val="00156B45"/>
    <w:rsid w:val="00166922"/>
    <w:rsid w:val="001702A8"/>
    <w:rsid w:val="001E6F39"/>
    <w:rsid w:val="00250911"/>
    <w:rsid w:val="0026555F"/>
    <w:rsid w:val="002667FF"/>
    <w:rsid w:val="0032165D"/>
    <w:rsid w:val="00323E81"/>
    <w:rsid w:val="003A659D"/>
    <w:rsid w:val="004434E9"/>
    <w:rsid w:val="004979D6"/>
    <w:rsid w:val="005748C8"/>
    <w:rsid w:val="005A229C"/>
    <w:rsid w:val="005C648B"/>
    <w:rsid w:val="00660E52"/>
    <w:rsid w:val="006A2C49"/>
    <w:rsid w:val="006E1CFF"/>
    <w:rsid w:val="007308B2"/>
    <w:rsid w:val="007564D5"/>
    <w:rsid w:val="00764758"/>
    <w:rsid w:val="00792290"/>
    <w:rsid w:val="008D62CB"/>
    <w:rsid w:val="00933D36"/>
    <w:rsid w:val="0097251B"/>
    <w:rsid w:val="009C0A35"/>
    <w:rsid w:val="009D2DDA"/>
    <w:rsid w:val="009E73B1"/>
    <w:rsid w:val="009F2646"/>
    <w:rsid w:val="00A4749D"/>
    <w:rsid w:val="00A7293A"/>
    <w:rsid w:val="00AA447B"/>
    <w:rsid w:val="00AB08DA"/>
    <w:rsid w:val="00AE21A1"/>
    <w:rsid w:val="00B90E8F"/>
    <w:rsid w:val="00C24027"/>
    <w:rsid w:val="00C4563A"/>
    <w:rsid w:val="00CA1DB5"/>
    <w:rsid w:val="00D06C31"/>
    <w:rsid w:val="00D45A7D"/>
    <w:rsid w:val="00D714B4"/>
    <w:rsid w:val="00D90D25"/>
    <w:rsid w:val="00E04411"/>
    <w:rsid w:val="00F71ADB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447B"/>
    <w:rPr>
      <w:rFonts w:ascii="Tahoma" w:hAnsi="Tahoma" w:cs="Tahoma"/>
      <w:sz w:val="16"/>
      <w:szCs w:val="16"/>
    </w:rPr>
  </w:style>
  <w:style w:type="character" w:styleId="Hyperlink">
    <w:name w:val="Hyperlink"/>
    <w:rsid w:val="001702A8"/>
    <w:rPr>
      <w:color w:val="0000FF"/>
      <w:u w:val="single"/>
    </w:rPr>
  </w:style>
  <w:style w:type="character" w:styleId="FollowedHyperlink">
    <w:name w:val="FollowedHyperlink"/>
    <w:rsid w:val="00660E52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code.com/secure/data/034/chapter129/chap129toc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56d0e72cd020e02d2314ae05cf2b3499">
  <xsd:schema xmlns:xsd="http://www.w3.org/2001/XMLSchema" xmlns:xs="http://www.w3.org/2001/XMLSchema" xmlns:p="http://schemas.microsoft.com/office/2006/metadata/properties" xmlns:ns1="http://schemas.microsoft.com/sharepoint/v3" xmlns:ns2="64e1751b-5980-48eb-858c-82cc691d6e20" targetNamespace="http://schemas.microsoft.com/office/2006/metadata/properties" ma:root="true" ma:fieldsID="1e957668bfc97af95ceecb046967359d" ns1:_="" ns2:_="">
    <xsd:import namespace="http://schemas.microsoft.com/sharepoint/v3"/>
    <xsd:import namespace="64e1751b-5980-48eb-858c-82cc691d6e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1751b-5980-48eb-858c-82cc691d6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64e1751b-5980-48eb-858c-82cc691d6e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4D698A-68CB-4634-8487-A394D4A4E5E2}"/>
</file>

<file path=customXml/itemProps2.xml><?xml version="1.0" encoding="utf-8"?>
<ds:datastoreItem xmlns:ds="http://schemas.openxmlformats.org/officeDocument/2006/customXml" ds:itemID="{E7EA4F3B-F6B9-47BE-B21E-C7FC8161C618}"/>
</file>

<file path=customXml/itemProps3.xml><?xml version="1.0" encoding="utf-8"?>
<ds:datastoreItem xmlns:ds="http://schemas.openxmlformats.org/officeDocument/2006/customXml" ds:itemID="{04C44BA0-9651-44D9-B2B5-7673D5BE6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PA Code Title 34, Chapter 129</vt:lpstr>
    </vt:vector>
  </TitlesOfParts>
  <Company>avinternational</Company>
  <LinksUpToDate>false</LinksUpToDate>
  <CharactersWithSpaces>4773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http://www.pacode.com/secure/data/034/chapter129/chap129toc.html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PA Code Title 34, Chapter 129</dc:title>
  <dc:creator>ctroutman</dc:creator>
  <cp:lastModifiedBy>degan</cp:lastModifiedBy>
  <cp:revision>2</cp:revision>
  <dcterms:created xsi:type="dcterms:W3CDTF">2015-02-26T21:25:00Z</dcterms:created>
  <dcterms:modified xsi:type="dcterms:W3CDTF">2015-02-26T21:25:00Z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0x0101008DC35C6B0AE99248AD9B4753D90FE353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