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305438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</w:t>
      </w:r>
      <w:r w:rsidR="00EA2151">
        <w:rPr>
          <w:rFonts w:ascii="Verdana" w:hAnsi="Verdana" w:cs="Verdana"/>
          <w:b/>
          <w:bCs/>
          <w:i/>
          <w:iCs/>
          <w:sz w:val="20"/>
          <w:szCs w:val="20"/>
        </w:rPr>
        <w:t xml:space="preserve">Insight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5C7C29A9" w:rsidR="00377242" w:rsidRPr="009C625C" w:rsidRDefault="005F69C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65AA">
            <w:rPr>
              <w:rFonts w:ascii="Verdana" w:hAnsi="Verdana" w:cs="Verdana"/>
              <w:b/>
              <w:sz w:val="20"/>
              <w:szCs w:val="20"/>
            </w:rPr>
            <w:t>March</w:t>
          </w:r>
          <w:r w:rsidR="00512A87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</w:t>
          </w:r>
          <w:r w:rsidR="000C65AA">
            <w:rPr>
              <w:rFonts w:ascii="Verdana" w:hAnsi="Verdana" w:cs="Verdana"/>
              <w:b/>
              <w:sz w:val="20"/>
              <w:szCs w:val="20"/>
            </w:rPr>
            <w:t>20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 xml:space="preserve">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4684361F" w:rsidR="00377242" w:rsidRPr="009C625C" w:rsidRDefault="005F69C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0C65AA">
            <w:rPr>
              <w:rFonts w:ascii="Verdana" w:hAnsi="Verdana" w:cs="Verdana"/>
              <w:sz w:val="20"/>
              <w:szCs w:val="20"/>
            </w:rPr>
            <w:t>March 2020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 release of enhancements to the NEOGOV Applicant Tracking System.</w:t>
          </w:r>
        </w:sdtContent>
      </w:sdt>
    </w:p>
    <w:p w14:paraId="1EF8B53F" w14:textId="0C467C52" w:rsidR="004F317A" w:rsidRPr="004F317A" w:rsidRDefault="004F317A" w:rsidP="004F317A">
      <w:pPr>
        <w:pStyle w:val="ListParagraph"/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2D14CE">
        <w:rPr>
          <w:rFonts w:ascii="Verdana" w:hAnsi="Verdana" w:cs="Verdana"/>
          <w:b/>
          <w:bCs/>
          <w:sz w:val="20"/>
          <w:szCs w:val="20"/>
          <w:highlight w:val="yellow"/>
        </w:rPr>
        <w:t>Revised Alert (04.01.2020)</w:t>
      </w:r>
      <w:r w:rsidRPr="00DE628D">
        <w:rPr>
          <w:rFonts w:ascii="Verdana" w:hAnsi="Verdana" w:cs="Verdana"/>
          <w:b/>
          <w:bCs/>
          <w:sz w:val="20"/>
          <w:szCs w:val="20"/>
          <w:highlight w:val="yellow"/>
        </w:rPr>
        <w:t xml:space="preserve">: </w:t>
      </w:r>
      <w:r w:rsidRPr="00DE628D">
        <w:rPr>
          <w:rFonts w:ascii="Verdana" w:hAnsi="Verdana" w:cs="Verdana"/>
          <w:sz w:val="20"/>
          <w:szCs w:val="20"/>
          <w:highlight w:val="yellow"/>
        </w:rPr>
        <w:t xml:space="preserve">This revision includes information regarding </w:t>
      </w:r>
      <w:r w:rsidR="00DE628D" w:rsidRPr="00DE628D">
        <w:rPr>
          <w:rFonts w:ascii="Verdana" w:hAnsi="Verdana" w:cs="Verdana"/>
          <w:sz w:val="20"/>
          <w:szCs w:val="20"/>
          <w:highlight w:val="yellow"/>
        </w:rPr>
        <w:t xml:space="preserve">additional </w:t>
      </w:r>
      <w:r w:rsidRPr="00DE628D">
        <w:rPr>
          <w:rFonts w:ascii="Verdana" w:hAnsi="Verdana" w:cs="Verdana"/>
          <w:sz w:val="20"/>
          <w:szCs w:val="20"/>
          <w:highlight w:val="yellow"/>
        </w:rPr>
        <w:t>changes as a result of the “State/Province” field enhancement.</w:t>
      </w:r>
      <w:bookmarkStart w:id="1" w:name="_GoBack"/>
      <w:bookmarkEnd w:id="1"/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07412AB6" w14:textId="5C4D8838" w:rsidR="00400CE7" w:rsidRDefault="00EB7A0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160FAD">
        <w:rPr>
          <w:rFonts w:ascii="Verdana" w:hAnsi="Verdana" w:cs="Verdana"/>
          <w:sz w:val="20"/>
          <w:szCs w:val="20"/>
        </w:rPr>
        <w:t xml:space="preserve"> following </w:t>
      </w:r>
      <w:r w:rsidR="003027DA">
        <w:rPr>
          <w:rFonts w:ascii="Verdana" w:hAnsi="Verdana" w:cs="Verdana"/>
          <w:sz w:val="20"/>
          <w:szCs w:val="20"/>
        </w:rPr>
        <w:t xml:space="preserve">enhancements were released </w:t>
      </w:r>
      <w:r w:rsidR="009122BA">
        <w:rPr>
          <w:rFonts w:ascii="Verdana" w:hAnsi="Verdana" w:cs="Verdana"/>
          <w:sz w:val="20"/>
          <w:szCs w:val="20"/>
        </w:rPr>
        <w:t xml:space="preserve">to Insight in </w:t>
      </w:r>
      <w:r w:rsidR="000C65AA">
        <w:rPr>
          <w:rFonts w:ascii="Verdana" w:hAnsi="Verdana" w:cs="Verdana"/>
          <w:sz w:val="20"/>
          <w:szCs w:val="20"/>
        </w:rPr>
        <w:t>March 2020</w:t>
      </w:r>
      <w:r w:rsidR="009122BA">
        <w:rPr>
          <w:rFonts w:ascii="Verdana" w:hAnsi="Verdana" w:cs="Verdana"/>
          <w:sz w:val="20"/>
          <w:szCs w:val="20"/>
        </w:rPr>
        <w:t xml:space="preserve"> and are available to all Insight users</w:t>
      </w:r>
      <w:r w:rsidR="00160FAD">
        <w:rPr>
          <w:rFonts w:ascii="Verdana" w:hAnsi="Verdana" w:cs="Verdana"/>
          <w:sz w:val="20"/>
          <w:szCs w:val="20"/>
        </w:rPr>
        <w:t>:</w:t>
      </w:r>
    </w:p>
    <w:p w14:paraId="140B0F58" w14:textId="77777777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0A105CE5" w14:textId="35DF7CAA" w:rsidR="00B55716" w:rsidRDefault="003027DA" w:rsidP="00FF4EB1">
      <w:pPr>
        <w:rPr>
          <w:rFonts w:ascii="Verdana" w:hAnsi="Verdana" w:cs="Verdana"/>
          <w:b/>
          <w:bCs/>
          <w:sz w:val="20"/>
          <w:szCs w:val="20"/>
        </w:rPr>
      </w:pPr>
      <w:r w:rsidRPr="00A43E3F">
        <w:rPr>
          <w:rFonts w:ascii="Verdana" w:hAnsi="Verdana" w:cs="Verdana"/>
          <w:b/>
          <w:bCs/>
          <w:sz w:val="20"/>
          <w:szCs w:val="20"/>
        </w:rPr>
        <w:t>Insight</w:t>
      </w:r>
      <w:r w:rsidR="004D0398" w:rsidRPr="00A43E3F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616529">
        <w:rPr>
          <w:rFonts w:ascii="Verdana" w:hAnsi="Verdana" w:cs="Verdana"/>
          <w:b/>
          <w:bCs/>
          <w:sz w:val="20"/>
          <w:szCs w:val="20"/>
        </w:rPr>
        <w:t>Quick Sort for Supplemental Questions</w:t>
      </w:r>
      <w:r w:rsidR="00C8194E">
        <w:rPr>
          <w:rFonts w:ascii="Verdana" w:hAnsi="Verdana" w:cs="Verdana"/>
          <w:b/>
          <w:bCs/>
          <w:sz w:val="20"/>
          <w:szCs w:val="20"/>
        </w:rPr>
        <w:t xml:space="preserve"> and Response Options</w:t>
      </w:r>
    </w:p>
    <w:p w14:paraId="403E5692" w14:textId="2F2E69B7" w:rsidR="00A76E13" w:rsidRDefault="00C8194E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There is now a </w:t>
      </w:r>
      <w:r w:rsidR="00626E76">
        <w:rPr>
          <w:rFonts w:ascii="Verdana" w:hAnsi="Verdana" w:cs="Verdana"/>
          <w:sz w:val="20"/>
          <w:szCs w:val="20"/>
        </w:rPr>
        <w:t>‘</w:t>
      </w:r>
      <w:r>
        <w:rPr>
          <w:rFonts w:ascii="Verdana" w:hAnsi="Verdana" w:cs="Verdana"/>
          <w:sz w:val="20"/>
          <w:szCs w:val="20"/>
        </w:rPr>
        <w:t>quick sort</w:t>
      </w:r>
      <w:r w:rsidR="00626E76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 xml:space="preserve"> option available for supplemental questions and supplemental question response options</w:t>
      </w:r>
      <w:r w:rsidR="00A76E13">
        <w:rPr>
          <w:rFonts w:ascii="Verdana" w:hAnsi="Verdana" w:cs="Verdana"/>
          <w:sz w:val="20"/>
          <w:szCs w:val="20"/>
        </w:rPr>
        <w:t xml:space="preserve"> </w:t>
      </w:r>
      <w:r w:rsidR="0086028A">
        <w:rPr>
          <w:rFonts w:ascii="Verdana" w:hAnsi="Verdana" w:cs="Verdana"/>
          <w:sz w:val="20"/>
          <w:szCs w:val="20"/>
        </w:rPr>
        <w:t>on a</w:t>
      </w:r>
      <w:r w:rsidR="005C6F30" w:rsidRPr="0086028A">
        <w:rPr>
          <w:rFonts w:ascii="Verdana" w:hAnsi="Verdana" w:cs="Verdana"/>
          <w:sz w:val="20"/>
          <w:szCs w:val="20"/>
        </w:rPr>
        <w:t xml:space="preserve"> </w:t>
      </w:r>
      <w:r w:rsidRPr="0086028A">
        <w:rPr>
          <w:rFonts w:ascii="Verdana" w:hAnsi="Verdana" w:cs="Verdana"/>
          <w:sz w:val="20"/>
          <w:szCs w:val="20"/>
        </w:rPr>
        <w:t>job posting.</w:t>
      </w:r>
      <w:r>
        <w:rPr>
          <w:rFonts w:ascii="Verdana" w:hAnsi="Verdana" w:cs="Verdana"/>
          <w:sz w:val="20"/>
          <w:szCs w:val="20"/>
        </w:rPr>
        <w:t xml:space="preserve"> </w:t>
      </w:r>
      <w:r w:rsidR="00616529">
        <w:rPr>
          <w:rFonts w:ascii="Verdana" w:hAnsi="Verdana" w:cs="Verdana"/>
          <w:sz w:val="20"/>
          <w:szCs w:val="20"/>
        </w:rPr>
        <w:t xml:space="preserve">Insight Users </w:t>
      </w:r>
      <w:r w:rsidR="00281C3D">
        <w:rPr>
          <w:rFonts w:ascii="Verdana" w:hAnsi="Verdana" w:cs="Verdana"/>
          <w:sz w:val="20"/>
          <w:szCs w:val="20"/>
        </w:rPr>
        <w:t>can</w:t>
      </w:r>
      <w:r w:rsidR="00616529">
        <w:rPr>
          <w:rFonts w:ascii="Verdana" w:hAnsi="Verdana" w:cs="Verdana"/>
          <w:sz w:val="20"/>
          <w:szCs w:val="20"/>
        </w:rPr>
        <w:t xml:space="preserve"> quickly sort and reorder supplemental questions</w:t>
      </w:r>
      <w:r>
        <w:rPr>
          <w:rFonts w:ascii="Verdana" w:hAnsi="Verdana" w:cs="Verdana"/>
          <w:sz w:val="20"/>
          <w:szCs w:val="20"/>
        </w:rPr>
        <w:t xml:space="preserve"> or their </w:t>
      </w:r>
      <w:r w:rsidR="00A76E13">
        <w:rPr>
          <w:rFonts w:ascii="Verdana" w:hAnsi="Verdana" w:cs="Verdana"/>
          <w:sz w:val="20"/>
          <w:szCs w:val="20"/>
        </w:rPr>
        <w:t>responses</w:t>
      </w:r>
      <w:r w:rsidR="00616529">
        <w:rPr>
          <w:rFonts w:ascii="Verdana" w:hAnsi="Verdana" w:cs="Verdana"/>
          <w:sz w:val="20"/>
          <w:szCs w:val="20"/>
        </w:rPr>
        <w:t xml:space="preserve"> by dragging and dropping them into the desired location</w:t>
      </w:r>
      <w:r w:rsidR="00626E76">
        <w:rPr>
          <w:rFonts w:ascii="Verdana" w:hAnsi="Verdana" w:cs="Verdana"/>
          <w:sz w:val="20"/>
          <w:szCs w:val="20"/>
        </w:rPr>
        <w:t>s</w:t>
      </w:r>
      <w:r w:rsidR="00D87ADD">
        <w:rPr>
          <w:rFonts w:ascii="Verdana" w:hAnsi="Verdana" w:cs="Verdana"/>
          <w:sz w:val="20"/>
          <w:szCs w:val="20"/>
        </w:rPr>
        <w:t>.</w:t>
      </w:r>
    </w:p>
    <w:p w14:paraId="09F2C9B9" w14:textId="77777777" w:rsidR="00942DFA" w:rsidRDefault="00942DFA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410DE7EF" w14:textId="75A8B1F8" w:rsidR="00A76E13" w:rsidRPr="00E10E62" w:rsidRDefault="00A76E13" w:rsidP="004F317A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E10E62">
        <w:rPr>
          <w:rFonts w:ascii="Verdana" w:hAnsi="Verdana" w:cs="Verdana"/>
          <w:b/>
          <w:bCs/>
          <w:i/>
          <w:iCs/>
          <w:sz w:val="18"/>
          <w:szCs w:val="18"/>
        </w:rPr>
        <w:t>Supplemental Questions</w:t>
      </w:r>
    </w:p>
    <w:p w14:paraId="433CBAE7" w14:textId="68A7DC0C" w:rsidR="00BC2FEF" w:rsidRDefault="000F1E0C" w:rsidP="000F1E0C">
      <w:pPr>
        <w:spacing w:after="60"/>
        <w:jc w:val="center"/>
        <w:rPr>
          <w:rFonts w:ascii="Verdana" w:hAnsi="Verdana" w:cs="Verdana"/>
          <w:sz w:val="20"/>
          <w:szCs w:val="20"/>
        </w:rPr>
      </w:pPr>
      <w:r w:rsidRPr="000F1E0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1A4F687" wp14:editId="2B0D7203">
            <wp:extent cx="5210175" cy="2058742"/>
            <wp:effectExtent l="19050" t="19050" r="952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5158" cy="20607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B1AF80" w14:textId="5DA66DA2" w:rsidR="00A76E13" w:rsidRDefault="00A76E13" w:rsidP="009F78EC">
      <w:pPr>
        <w:jc w:val="center"/>
        <w:rPr>
          <w:rFonts w:ascii="Verdana" w:hAnsi="Verdana" w:cs="Verdana"/>
          <w:sz w:val="20"/>
          <w:szCs w:val="20"/>
        </w:rPr>
      </w:pPr>
    </w:p>
    <w:p w14:paraId="67DB8670" w14:textId="5B5E19E2" w:rsidR="000F1E0C" w:rsidRPr="00E10E62" w:rsidRDefault="00A76E13" w:rsidP="009F78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E10E62">
        <w:rPr>
          <w:rFonts w:ascii="Verdana" w:hAnsi="Verdana" w:cs="Verdana"/>
          <w:b/>
          <w:bCs/>
          <w:i/>
          <w:iCs/>
          <w:sz w:val="18"/>
          <w:szCs w:val="18"/>
        </w:rPr>
        <w:t>Supplemental Question Response Options</w:t>
      </w:r>
    </w:p>
    <w:p w14:paraId="72A4AFE1" w14:textId="77777777" w:rsidR="00C27337" w:rsidRDefault="00BC2FEF" w:rsidP="00C27337">
      <w:pPr>
        <w:tabs>
          <w:tab w:val="left" w:pos="9540"/>
          <w:tab w:val="left" w:pos="9810"/>
        </w:tabs>
        <w:spacing w:after="60"/>
        <w:jc w:val="center"/>
        <w:rPr>
          <w:rFonts w:ascii="Verdana" w:hAnsi="Verdana" w:cs="Verdana"/>
          <w:b/>
          <w:bCs/>
          <w:sz w:val="20"/>
          <w:szCs w:val="20"/>
        </w:rPr>
      </w:pPr>
      <w:r w:rsidRPr="00BC2FEF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 wp14:anchorId="48C6C216" wp14:editId="1D37CA56">
            <wp:extent cx="5467350" cy="2225728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5373" cy="22289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860D1C" w14:textId="07761322" w:rsidR="005802A0" w:rsidRDefault="005802A0" w:rsidP="00C27337">
      <w:pPr>
        <w:tabs>
          <w:tab w:val="left" w:pos="9540"/>
          <w:tab w:val="left" w:pos="9810"/>
        </w:tabs>
        <w:spacing w:after="60"/>
        <w:rPr>
          <w:rFonts w:ascii="Verdana" w:hAnsi="Verdana" w:cs="Verdana"/>
          <w:b/>
          <w:bCs/>
          <w:sz w:val="20"/>
          <w:szCs w:val="20"/>
        </w:rPr>
      </w:pPr>
      <w:r w:rsidRPr="00A43E3F">
        <w:rPr>
          <w:rFonts w:ascii="Verdana" w:hAnsi="Verdana" w:cs="Verdana"/>
          <w:b/>
          <w:bCs/>
          <w:sz w:val="20"/>
          <w:szCs w:val="20"/>
        </w:rPr>
        <w:lastRenderedPageBreak/>
        <w:t xml:space="preserve">Insight: </w:t>
      </w:r>
      <w:r>
        <w:rPr>
          <w:rFonts w:ascii="Verdana" w:hAnsi="Verdana" w:cs="Verdana"/>
          <w:b/>
          <w:bCs/>
          <w:sz w:val="20"/>
          <w:szCs w:val="20"/>
        </w:rPr>
        <w:t>Ability to Modify Column Width</w:t>
      </w:r>
    </w:p>
    <w:p w14:paraId="715B69B9" w14:textId="2B5E828C" w:rsidR="005802A0" w:rsidRDefault="00F32B0C" w:rsidP="005802A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can </w:t>
      </w:r>
      <w:r w:rsidR="005C6F30">
        <w:rPr>
          <w:rFonts w:ascii="Verdana" w:hAnsi="Verdana" w:cs="Verdana"/>
          <w:sz w:val="20"/>
          <w:szCs w:val="20"/>
        </w:rPr>
        <w:t xml:space="preserve">now </w:t>
      </w:r>
      <w:r>
        <w:rPr>
          <w:rFonts w:ascii="Verdana" w:hAnsi="Verdana" w:cs="Verdana"/>
          <w:sz w:val="20"/>
          <w:szCs w:val="20"/>
        </w:rPr>
        <w:t>modify the</w:t>
      </w:r>
      <w:r w:rsidR="00ED4DEA">
        <w:rPr>
          <w:rFonts w:ascii="Verdana" w:hAnsi="Verdana" w:cs="Verdana"/>
          <w:sz w:val="20"/>
          <w:szCs w:val="20"/>
        </w:rPr>
        <w:t xml:space="preserve"> table</w:t>
      </w:r>
      <w:r>
        <w:rPr>
          <w:rFonts w:ascii="Verdana" w:hAnsi="Verdana" w:cs="Verdana"/>
          <w:sz w:val="20"/>
          <w:szCs w:val="20"/>
        </w:rPr>
        <w:t xml:space="preserve"> column width on various Insight pages </w:t>
      </w:r>
      <w:r w:rsidR="00366DFA">
        <w:rPr>
          <w:rFonts w:ascii="Verdana" w:hAnsi="Verdana" w:cs="Verdana"/>
          <w:sz w:val="20"/>
          <w:szCs w:val="20"/>
        </w:rPr>
        <w:t>including</w:t>
      </w:r>
      <w:r>
        <w:rPr>
          <w:rFonts w:ascii="Verdana" w:hAnsi="Verdana" w:cs="Verdana"/>
          <w:sz w:val="20"/>
          <w:szCs w:val="20"/>
        </w:rPr>
        <w:t>:</w:t>
      </w:r>
    </w:p>
    <w:p w14:paraId="7F94E96E" w14:textId="588B45E9" w:rsidR="00F32B0C" w:rsidRDefault="00F32B0C" w:rsidP="00F32B0C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Requisitions Page</w:t>
      </w:r>
    </w:p>
    <w:p w14:paraId="7205E3B8" w14:textId="320316C5" w:rsidR="00F32B0C" w:rsidRDefault="009C6DE4" w:rsidP="00F32B0C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Postings</w:t>
      </w:r>
      <w:r w:rsidR="00F32B0C">
        <w:rPr>
          <w:rFonts w:ascii="Verdana" w:hAnsi="Verdana" w:cs="Verdana"/>
          <w:sz w:val="20"/>
          <w:szCs w:val="20"/>
        </w:rPr>
        <w:t xml:space="preserve"> Page</w:t>
      </w:r>
    </w:p>
    <w:p w14:paraId="507CFC8E" w14:textId="661CF8BB" w:rsidR="00F32B0C" w:rsidRDefault="00F32B0C" w:rsidP="00F32B0C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Exam Plan Page</w:t>
      </w:r>
    </w:p>
    <w:p w14:paraId="007F1380" w14:textId="360254A9" w:rsidR="00F32B0C" w:rsidRPr="00F32B0C" w:rsidRDefault="009C6DE4" w:rsidP="00F32B0C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Job</w:t>
      </w:r>
      <w:r w:rsidR="00F32B0C">
        <w:rPr>
          <w:rFonts w:ascii="Verdana" w:hAnsi="Verdana" w:cs="Verdana"/>
          <w:sz w:val="20"/>
          <w:szCs w:val="20"/>
        </w:rPr>
        <w:t xml:space="preserve"> Spec Page</w:t>
      </w:r>
    </w:p>
    <w:p w14:paraId="1B46E48E" w14:textId="12F495DF" w:rsidR="006D1F1B" w:rsidRDefault="006D1F1B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4FBC2772" w14:textId="62D3C4FB" w:rsidR="006D1F1B" w:rsidRDefault="005C6F30" w:rsidP="00676A0C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user can modify the column width by hovering over the grid line and dragging it to the desired length. </w:t>
      </w:r>
      <w:r w:rsidR="006D1F1B">
        <w:rPr>
          <w:rFonts w:ascii="Verdana" w:hAnsi="Verdana" w:cs="Verdana"/>
          <w:sz w:val="20"/>
          <w:szCs w:val="20"/>
        </w:rPr>
        <w:t xml:space="preserve">The column width modifications made by </w:t>
      </w:r>
      <w:r w:rsidR="00E225D2">
        <w:rPr>
          <w:rFonts w:ascii="Verdana" w:hAnsi="Verdana" w:cs="Verdana"/>
          <w:sz w:val="20"/>
          <w:szCs w:val="20"/>
        </w:rPr>
        <w:t>the</w:t>
      </w:r>
      <w:r w:rsidR="006D1F1B">
        <w:rPr>
          <w:rFonts w:ascii="Verdana" w:hAnsi="Verdana" w:cs="Verdana"/>
          <w:sz w:val="20"/>
          <w:szCs w:val="20"/>
        </w:rPr>
        <w:t xml:space="preserve"> user will be retained until the user clears web browser cookies or clicks the “Reset” button. This will ensure users are not required to resize columns each time they </w:t>
      </w:r>
      <w:r w:rsidR="00626E76">
        <w:rPr>
          <w:rFonts w:ascii="Verdana" w:hAnsi="Verdana" w:cs="Verdana"/>
          <w:sz w:val="20"/>
          <w:szCs w:val="20"/>
        </w:rPr>
        <w:t>access</w:t>
      </w:r>
      <w:r>
        <w:rPr>
          <w:rFonts w:ascii="Verdana" w:hAnsi="Verdana" w:cs="Verdana"/>
          <w:sz w:val="20"/>
          <w:szCs w:val="20"/>
        </w:rPr>
        <w:t xml:space="preserve"> </w:t>
      </w:r>
      <w:r w:rsidR="006D1F1B">
        <w:rPr>
          <w:rFonts w:ascii="Verdana" w:hAnsi="Verdana" w:cs="Verdana"/>
          <w:sz w:val="20"/>
          <w:szCs w:val="20"/>
        </w:rPr>
        <w:t>the page.</w:t>
      </w:r>
    </w:p>
    <w:p w14:paraId="453A5CBA" w14:textId="77777777" w:rsidR="009F78EC" w:rsidRDefault="009F78EC" w:rsidP="00676A0C">
      <w:pPr>
        <w:spacing w:after="60"/>
        <w:rPr>
          <w:rFonts w:ascii="Verdana" w:hAnsi="Verdana" w:cs="Verdana"/>
          <w:sz w:val="20"/>
          <w:szCs w:val="20"/>
        </w:rPr>
      </w:pPr>
    </w:p>
    <w:p w14:paraId="0115F6E3" w14:textId="3BC9BCFF" w:rsidR="006D1F1B" w:rsidRDefault="001E611F" w:rsidP="00676A0C">
      <w:pPr>
        <w:tabs>
          <w:tab w:val="left" w:pos="9540"/>
        </w:tabs>
        <w:spacing w:after="60"/>
        <w:jc w:val="center"/>
        <w:rPr>
          <w:rFonts w:ascii="Verdana" w:hAnsi="Verdana" w:cs="Verdana"/>
          <w:sz w:val="20"/>
          <w:szCs w:val="20"/>
        </w:rPr>
      </w:pPr>
      <w:r w:rsidRPr="001E611F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5645EE0" wp14:editId="62C025C0">
            <wp:extent cx="5791200" cy="1318532"/>
            <wp:effectExtent l="19050" t="19050" r="1905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2047" cy="13346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862FFF" w14:textId="677C7B87" w:rsidR="006D1F1B" w:rsidRDefault="006D1F1B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2D9BE18E" w14:textId="1C04D898" w:rsidR="000E6BAC" w:rsidRDefault="000E6BAC" w:rsidP="00CC1AEB">
      <w:pPr>
        <w:rPr>
          <w:rFonts w:ascii="Verdana" w:hAnsi="Verdana" w:cs="Verdana"/>
          <w:b/>
          <w:bCs/>
          <w:sz w:val="20"/>
          <w:szCs w:val="20"/>
        </w:rPr>
      </w:pPr>
      <w:r w:rsidRPr="00CC1AEB">
        <w:rPr>
          <w:rFonts w:ascii="Verdana" w:hAnsi="Verdana" w:cs="Verdana"/>
          <w:b/>
          <w:bCs/>
          <w:sz w:val="20"/>
          <w:szCs w:val="20"/>
        </w:rPr>
        <w:t xml:space="preserve">Insight: Notice Template Library </w:t>
      </w:r>
      <w:r w:rsidR="00BE4332">
        <w:rPr>
          <w:rFonts w:ascii="Verdana" w:hAnsi="Verdana" w:cs="Verdana"/>
          <w:b/>
          <w:bCs/>
          <w:sz w:val="20"/>
          <w:szCs w:val="20"/>
        </w:rPr>
        <w:t>Enhancements</w:t>
      </w:r>
    </w:p>
    <w:p w14:paraId="00F5F146" w14:textId="72D30A67" w:rsidR="00BE4332" w:rsidRDefault="00BE4332" w:rsidP="00CC1AE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Several improvements have been made to the layout and functionality of the Insight Notice Templates and OHC Notice Template pages in Insight. The improvements include the following:</w:t>
      </w:r>
    </w:p>
    <w:p w14:paraId="25430483" w14:textId="5DD8C1D6" w:rsidR="00BE4332" w:rsidRDefault="00BE4332" w:rsidP="00BE4332">
      <w:pPr>
        <w:pStyle w:val="ListParagraph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Insight Notice Templates:</w:t>
      </w:r>
    </w:p>
    <w:p w14:paraId="1FE9B04F" w14:textId="3E87A780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“Category” column added to the notice templates grid</w:t>
      </w:r>
    </w:p>
    <w:p w14:paraId="7531B79B" w14:textId="7B9957B0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“Last Used” column added to the notice template grid</w:t>
      </w:r>
    </w:p>
    <w:p w14:paraId="44C5EC61" w14:textId="7BBF490A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sort on any grid column</w:t>
      </w:r>
    </w:p>
    <w:p w14:paraId="1B421A9A" w14:textId="7FF0D871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search by template name, description, category or subject</w:t>
      </w:r>
    </w:p>
    <w:p w14:paraId="55AC623B" w14:textId="2A018EBE" w:rsidR="009F78EC" w:rsidRDefault="009F78EC" w:rsidP="009F78EC">
      <w:pPr>
        <w:pStyle w:val="ListParagraph"/>
        <w:ind w:left="1440"/>
        <w:rPr>
          <w:rFonts w:ascii="Verdana" w:hAnsi="Verdana" w:cs="Verdana"/>
          <w:sz w:val="20"/>
          <w:szCs w:val="20"/>
        </w:rPr>
      </w:pPr>
    </w:p>
    <w:p w14:paraId="18CDCC9E" w14:textId="346D24D0" w:rsidR="0035247B" w:rsidRPr="0035247B" w:rsidRDefault="0035247B" w:rsidP="0035247B">
      <w:pPr>
        <w:pStyle w:val="ListParagraph"/>
        <w:ind w:left="2880" w:firstLine="72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35247B">
        <w:rPr>
          <w:rFonts w:ascii="Verdana" w:hAnsi="Verdana" w:cs="Verdana"/>
          <w:b/>
          <w:bCs/>
          <w:i/>
          <w:iCs/>
          <w:sz w:val="18"/>
          <w:szCs w:val="18"/>
        </w:rPr>
        <w:t>Insight Notice Templates</w:t>
      </w:r>
    </w:p>
    <w:p w14:paraId="41DE12E5" w14:textId="514162F3" w:rsidR="00BE4332" w:rsidRDefault="009F78EC" w:rsidP="009F78EC">
      <w:pPr>
        <w:pStyle w:val="ListParagraph"/>
        <w:ind w:left="0"/>
        <w:jc w:val="center"/>
        <w:rPr>
          <w:rFonts w:ascii="Verdana" w:hAnsi="Verdana" w:cs="Verdana"/>
          <w:sz w:val="20"/>
          <w:szCs w:val="20"/>
        </w:rPr>
      </w:pPr>
      <w:r w:rsidRPr="009F78E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7365D35" wp14:editId="0033D85B">
            <wp:extent cx="5705475" cy="2381499"/>
            <wp:effectExtent l="19050" t="19050" r="952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4213" cy="24185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7DE53C" w14:textId="57E4A33E" w:rsidR="009F78EC" w:rsidRDefault="009F78EC" w:rsidP="009F78EC">
      <w:pPr>
        <w:pStyle w:val="ListParagraph"/>
        <w:ind w:left="0"/>
        <w:jc w:val="center"/>
        <w:rPr>
          <w:rFonts w:ascii="Verdana" w:hAnsi="Verdana" w:cs="Verdana"/>
          <w:sz w:val="20"/>
          <w:szCs w:val="20"/>
        </w:rPr>
      </w:pPr>
    </w:p>
    <w:p w14:paraId="795772E3" w14:textId="2ADF67DA" w:rsidR="009F78EC" w:rsidRDefault="009F78EC" w:rsidP="009F78EC">
      <w:pPr>
        <w:pStyle w:val="ListParagraph"/>
        <w:ind w:left="0"/>
        <w:jc w:val="center"/>
        <w:rPr>
          <w:rFonts w:ascii="Verdana" w:hAnsi="Verdana" w:cs="Verdana"/>
          <w:sz w:val="20"/>
          <w:szCs w:val="20"/>
        </w:rPr>
      </w:pPr>
    </w:p>
    <w:p w14:paraId="49D07A7D" w14:textId="77777777" w:rsidR="009F78EC" w:rsidRDefault="009F78EC" w:rsidP="00CF5A1D">
      <w:pPr>
        <w:pStyle w:val="ListParagraph"/>
        <w:ind w:left="0"/>
        <w:rPr>
          <w:rFonts w:ascii="Verdana" w:hAnsi="Verdana" w:cs="Verdana"/>
          <w:sz w:val="20"/>
          <w:szCs w:val="20"/>
        </w:rPr>
      </w:pPr>
    </w:p>
    <w:p w14:paraId="3D2B88C0" w14:textId="1A9AFDCF" w:rsidR="00BE4332" w:rsidRDefault="00BE4332" w:rsidP="009F78EC">
      <w:pPr>
        <w:pStyle w:val="ListParagraph"/>
        <w:numPr>
          <w:ilvl w:val="0"/>
          <w:numId w:val="40"/>
        </w:numPr>
        <w:tabs>
          <w:tab w:val="left" w:pos="963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OHC Notice Templates:</w:t>
      </w:r>
    </w:p>
    <w:p w14:paraId="61B9416F" w14:textId="77777777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“Last Used” column added to the notice template grid</w:t>
      </w:r>
    </w:p>
    <w:p w14:paraId="47079DC7" w14:textId="00AC3155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</w:t>
      </w:r>
      <w:r w:rsidR="00C73552">
        <w:rPr>
          <w:rFonts w:ascii="Verdana" w:hAnsi="Verdana" w:cs="Verdana"/>
          <w:sz w:val="20"/>
          <w:szCs w:val="20"/>
        </w:rPr>
        <w:t xml:space="preserve">Created” </w:t>
      </w:r>
      <w:r w:rsidR="0015085F">
        <w:rPr>
          <w:rFonts w:ascii="Verdana" w:hAnsi="Verdana" w:cs="Verdana"/>
          <w:sz w:val="20"/>
          <w:szCs w:val="20"/>
        </w:rPr>
        <w:t>d</w:t>
      </w:r>
      <w:r w:rsidR="00C73552">
        <w:rPr>
          <w:rFonts w:ascii="Verdana" w:hAnsi="Verdana" w:cs="Verdana"/>
          <w:sz w:val="20"/>
          <w:szCs w:val="20"/>
        </w:rPr>
        <w:t>ate</w:t>
      </w:r>
      <w:r>
        <w:rPr>
          <w:rFonts w:ascii="Verdana" w:hAnsi="Verdana" w:cs="Verdana"/>
          <w:sz w:val="20"/>
          <w:szCs w:val="20"/>
        </w:rPr>
        <w:t xml:space="preserve"> column added to the notice template grid</w:t>
      </w:r>
    </w:p>
    <w:p w14:paraId="3AD6E333" w14:textId="746209BD" w:rsidR="00BE4332" w:rsidRDefault="00BE4332" w:rsidP="00BE4332">
      <w:pPr>
        <w:pStyle w:val="ListParagraph"/>
        <w:numPr>
          <w:ilvl w:val="1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sort on any grid column</w:t>
      </w:r>
    </w:p>
    <w:p w14:paraId="23C0E9D2" w14:textId="30FBB776" w:rsidR="00BE4332" w:rsidRDefault="00BE4332" w:rsidP="00BE4332">
      <w:pPr>
        <w:rPr>
          <w:rFonts w:ascii="Verdana" w:hAnsi="Verdana" w:cs="Verdana"/>
          <w:sz w:val="20"/>
          <w:szCs w:val="20"/>
        </w:rPr>
      </w:pPr>
    </w:p>
    <w:p w14:paraId="43B9EF67" w14:textId="029B5C1A" w:rsidR="0035247B" w:rsidRPr="007113A3" w:rsidRDefault="0035247B" w:rsidP="0035247B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7113A3">
        <w:rPr>
          <w:rFonts w:ascii="Verdana" w:hAnsi="Verdana" w:cs="Verdana"/>
          <w:b/>
          <w:bCs/>
          <w:i/>
          <w:iCs/>
          <w:sz w:val="18"/>
          <w:szCs w:val="18"/>
        </w:rPr>
        <w:t>OHC Notice Templates</w:t>
      </w:r>
    </w:p>
    <w:p w14:paraId="1E4D9246" w14:textId="4744ABCD" w:rsidR="00714973" w:rsidRPr="00B95B91" w:rsidRDefault="00DB33F0" w:rsidP="00B95B91">
      <w:pPr>
        <w:spacing w:after="60"/>
        <w:jc w:val="center"/>
        <w:rPr>
          <w:rFonts w:ascii="Verdana" w:hAnsi="Verdana" w:cs="Verdana"/>
          <w:sz w:val="20"/>
          <w:szCs w:val="20"/>
        </w:rPr>
      </w:pPr>
      <w:r w:rsidRPr="00DB33F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D88E989" wp14:editId="60781FEE">
            <wp:extent cx="5974080" cy="986790"/>
            <wp:effectExtent l="19050" t="19050" r="2667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9433" cy="10041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02CA35" w14:textId="5A1437E2" w:rsidR="00714973" w:rsidRDefault="00714973" w:rsidP="009C625C">
      <w:pPr>
        <w:rPr>
          <w:rFonts w:ascii="Verdana" w:hAnsi="Verdana" w:cs="Verdana"/>
          <w:b/>
          <w:sz w:val="20"/>
          <w:szCs w:val="20"/>
        </w:rPr>
      </w:pPr>
    </w:p>
    <w:p w14:paraId="3FEFDB92" w14:textId="17AC42C8" w:rsidR="004954DC" w:rsidRDefault="004954DC" w:rsidP="009C625C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Insight: Applicants by Job Report – All Applicants Date Range Filter</w:t>
      </w:r>
    </w:p>
    <w:p w14:paraId="63680AF6" w14:textId="25EB6337" w:rsidR="00714973" w:rsidRPr="00693984" w:rsidRDefault="00693984" w:rsidP="009C625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An option to view “All” applicants has been added to the Application Received Date Range filter within the </w:t>
      </w:r>
      <w:r w:rsidR="001F1072">
        <w:rPr>
          <w:rFonts w:ascii="Verdana" w:hAnsi="Verdana" w:cs="Verdana"/>
          <w:bCs/>
          <w:sz w:val="20"/>
          <w:szCs w:val="20"/>
        </w:rPr>
        <w:t>‘</w:t>
      </w:r>
      <w:r>
        <w:rPr>
          <w:rFonts w:ascii="Verdana" w:hAnsi="Verdana" w:cs="Verdana"/>
          <w:bCs/>
          <w:sz w:val="20"/>
          <w:szCs w:val="20"/>
        </w:rPr>
        <w:t>Applicants by Job</w:t>
      </w:r>
      <w:r w:rsidR="001F1072">
        <w:rPr>
          <w:rFonts w:ascii="Verdana" w:hAnsi="Verdana" w:cs="Verdana"/>
          <w:bCs/>
          <w:sz w:val="20"/>
          <w:szCs w:val="20"/>
        </w:rPr>
        <w:t>’</w:t>
      </w:r>
      <w:r>
        <w:rPr>
          <w:rFonts w:ascii="Verdana" w:hAnsi="Verdana" w:cs="Verdana"/>
          <w:bCs/>
          <w:sz w:val="20"/>
          <w:szCs w:val="20"/>
        </w:rPr>
        <w:t xml:space="preserve"> standard report. Previously, users were only able to sele</w:t>
      </w:r>
      <w:r w:rsidRPr="002037AE">
        <w:rPr>
          <w:rFonts w:ascii="Verdana" w:hAnsi="Verdana" w:cs="Verdana"/>
          <w:bCs/>
          <w:sz w:val="20"/>
          <w:szCs w:val="20"/>
        </w:rPr>
        <w:t>ct a</w:t>
      </w:r>
      <w:r w:rsidR="00984A84" w:rsidRPr="002037AE">
        <w:rPr>
          <w:rFonts w:ascii="Verdana" w:hAnsi="Verdana" w:cs="Verdana"/>
          <w:bCs/>
          <w:sz w:val="20"/>
          <w:szCs w:val="20"/>
        </w:rPr>
        <w:t xml:space="preserve"> custom or predefined</w:t>
      </w:r>
      <w:r w:rsidRPr="002037AE">
        <w:rPr>
          <w:rFonts w:ascii="Verdana" w:hAnsi="Verdana" w:cs="Verdana"/>
          <w:bCs/>
          <w:sz w:val="20"/>
          <w:szCs w:val="20"/>
        </w:rPr>
        <w:t xml:space="preserve"> dat</w:t>
      </w:r>
      <w:r w:rsidR="00382C9D" w:rsidRPr="002037AE">
        <w:rPr>
          <w:rFonts w:ascii="Verdana" w:hAnsi="Verdana" w:cs="Verdana"/>
          <w:bCs/>
          <w:sz w:val="20"/>
          <w:szCs w:val="20"/>
        </w:rPr>
        <w:t>e</w:t>
      </w:r>
      <w:r>
        <w:rPr>
          <w:rFonts w:ascii="Verdana" w:hAnsi="Verdana" w:cs="Verdana"/>
          <w:bCs/>
          <w:sz w:val="20"/>
          <w:szCs w:val="20"/>
        </w:rPr>
        <w:t xml:space="preserve"> range.</w:t>
      </w:r>
      <w:r w:rsidR="00382C9D">
        <w:rPr>
          <w:rFonts w:ascii="Verdana" w:hAnsi="Verdana" w:cs="Verdana"/>
          <w:bCs/>
          <w:sz w:val="20"/>
          <w:szCs w:val="20"/>
        </w:rPr>
        <w:t xml:space="preserve"> This</w:t>
      </w:r>
      <w:r w:rsidR="00223308">
        <w:rPr>
          <w:rFonts w:ascii="Verdana" w:hAnsi="Verdana" w:cs="Verdana"/>
          <w:bCs/>
          <w:sz w:val="20"/>
          <w:szCs w:val="20"/>
        </w:rPr>
        <w:t xml:space="preserve"> enhancement </w:t>
      </w:r>
      <w:r w:rsidR="00382C9D">
        <w:rPr>
          <w:rFonts w:ascii="Verdana" w:hAnsi="Verdana" w:cs="Verdana"/>
          <w:bCs/>
          <w:sz w:val="20"/>
          <w:szCs w:val="20"/>
        </w:rPr>
        <w:t>give</w:t>
      </w:r>
      <w:r w:rsidR="00223308">
        <w:rPr>
          <w:rFonts w:ascii="Verdana" w:hAnsi="Verdana" w:cs="Verdana"/>
          <w:bCs/>
          <w:sz w:val="20"/>
          <w:szCs w:val="20"/>
        </w:rPr>
        <w:t>s</w:t>
      </w:r>
      <w:r w:rsidR="00382C9D">
        <w:rPr>
          <w:rFonts w:ascii="Verdana" w:hAnsi="Verdana" w:cs="Verdana"/>
          <w:bCs/>
          <w:sz w:val="20"/>
          <w:szCs w:val="20"/>
        </w:rPr>
        <w:t xml:space="preserve"> users the option to see all applicants for a job posting without having to enter</w:t>
      </w:r>
      <w:r w:rsidR="002037AE">
        <w:rPr>
          <w:rFonts w:ascii="Verdana" w:hAnsi="Verdana" w:cs="Verdana"/>
          <w:bCs/>
          <w:sz w:val="20"/>
          <w:szCs w:val="20"/>
        </w:rPr>
        <w:t xml:space="preserve"> or choose</w:t>
      </w:r>
      <w:r w:rsidR="00382C9D">
        <w:rPr>
          <w:rFonts w:ascii="Verdana" w:hAnsi="Verdana" w:cs="Verdana"/>
          <w:bCs/>
          <w:sz w:val="20"/>
          <w:szCs w:val="20"/>
        </w:rPr>
        <w:t xml:space="preserve"> a specific date range.</w:t>
      </w:r>
      <w:r w:rsidR="00223308">
        <w:rPr>
          <w:rFonts w:ascii="Verdana" w:hAnsi="Verdana" w:cs="Verdana"/>
          <w:bCs/>
          <w:sz w:val="20"/>
          <w:szCs w:val="20"/>
        </w:rPr>
        <w:t xml:space="preserve"> This change is in addition</w:t>
      </w:r>
      <w:r w:rsidR="00321975">
        <w:rPr>
          <w:rFonts w:ascii="Verdana" w:hAnsi="Verdana" w:cs="Verdana"/>
          <w:bCs/>
          <w:sz w:val="20"/>
          <w:szCs w:val="20"/>
        </w:rPr>
        <w:t xml:space="preserve"> to the</w:t>
      </w:r>
      <w:r w:rsidR="00223308">
        <w:rPr>
          <w:rFonts w:ascii="Verdana" w:hAnsi="Verdana" w:cs="Verdana"/>
          <w:bCs/>
          <w:sz w:val="20"/>
          <w:szCs w:val="20"/>
        </w:rPr>
        <w:t xml:space="preserve"> </w:t>
      </w:r>
      <w:r w:rsidR="001F1072">
        <w:rPr>
          <w:rFonts w:ascii="Verdana" w:hAnsi="Verdana" w:cs="Verdana"/>
          <w:bCs/>
          <w:sz w:val="20"/>
          <w:szCs w:val="20"/>
        </w:rPr>
        <w:t>‘</w:t>
      </w:r>
      <w:r w:rsidR="00223308">
        <w:rPr>
          <w:rFonts w:ascii="Verdana" w:hAnsi="Verdana" w:cs="Verdana"/>
          <w:bCs/>
          <w:sz w:val="20"/>
          <w:szCs w:val="20"/>
        </w:rPr>
        <w:t>Applicants by Job</w:t>
      </w:r>
      <w:r w:rsidR="001F1072">
        <w:rPr>
          <w:rFonts w:ascii="Verdana" w:hAnsi="Verdana" w:cs="Verdana"/>
          <w:bCs/>
          <w:sz w:val="20"/>
          <w:szCs w:val="20"/>
        </w:rPr>
        <w:t>’</w:t>
      </w:r>
      <w:r w:rsidR="00223308">
        <w:rPr>
          <w:rFonts w:ascii="Verdana" w:hAnsi="Verdana" w:cs="Verdana"/>
          <w:bCs/>
          <w:sz w:val="20"/>
          <w:szCs w:val="20"/>
        </w:rPr>
        <w:t xml:space="preserve"> report enhancements announced in </w:t>
      </w:r>
      <w:hyperlink r:id="rId16" w:history="1">
        <w:r w:rsidR="00223308" w:rsidRPr="00984A84">
          <w:rPr>
            <w:rStyle w:val="Hyperlink"/>
            <w:rFonts w:ascii="Verdana" w:hAnsi="Verdana" w:cs="Verdana"/>
            <w:bCs/>
            <w:sz w:val="20"/>
            <w:szCs w:val="20"/>
          </w:rPr>
          <w:t xml:space="preserve">TA Alert </w:t>
        </w:r>
        <w:r w:rsidR="00984A84" w:rsidRPr="00984A84">
          <w:rPr>
            <w:rStyle w:val="Hyperlink"/>
            <w:rFonts w:ascii="Verdana" w:hAnsi="Verdana" w:cs="Verdana"/>
            <w:bCs/>
            <w:sz w:val="20"/>
            <w:szCs w:val="20"/>
          </w:rPr>
          <w:t>2019-09.</w:t>
        </w:r>
      </w:hyperlink>
    </w:p>
    <w:p w14:paraId="33D264B7" w14:textId="296E8531" w:rsidR="00714973" w:rsidRDefault="00714973" w:rsidP="009C625C">
      <w:pPr>
        <w:rPr>
          <w:rFonts w:ascii="Verdana" w:hAnsi="Verdana" w:cs="Verdana"/>
          <w:b/>
          <w:sz w:val="20"/>
          <w:szCs w:val="20"/>
        </w:rPr>
      </w:pPr>
    </w:p>
    <w:p w14:paraId="0FF871EF" w14:textId="30086363" w:rsidR="00714973" w:rsidRDefault="00714973" w:rsidP="009C625C">
      <w:pPr>
        <w:rPr>
          <w:rFonts w:ascii="Verdana" w:hAnsi="Verdana" w:cs="Verdana"/>
          <w:b/>
          <w:sz w:val="20"/>
          <w:szCs w:val="20"/>
        </w:rPr>
      </w:pPr>
      <w:r w:rsidRPr="00714973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4CD997AB" wp14:editId="3742132A">
            <wp:extent cx="6400800" cy="1250950"/>
            <wp:effectExtent l="19050" t="19050" r="19050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50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527770" w14:textId="77777777" w:rsidR="00BE3F7C" w:rsidRDefault="00BE3F7C" w:rsidP="009C625C">
      <w:pPr>
        <w:rPr>
          <w:rFonts w:ascii="Verdana" w:hAnsi="Verdana" w:cs="Verdana"/>
          <w:b/>
          <w:sz w:val="20"/>
          <w:szCs w:val="20"/>
        </w:rPr>
      </w:pPr>
    </w:p>
    <w:p w14:paraId="2D217D08" w14:textId="68261A57" w:rsidR="00BE3F7C" w:rsidRDefault="00F472AE" w:rsidP="009C625C">
      <w:pPr>
        <w:rPr>
          <w:rFonts w:ascii="Verdana" w:hAnsi="Verdana" w:cs="Verdana"/>
          <w:b/>
          <w:sz w:val="20"/>
          <w:szCs w:val="20"/>
        </w:rPr>
      </w:pPr>
      <w:r w:rsidRPr="002D14CE">
        <w:rPr>
          <w:rFonts w:ascii="Verdana" w:hAnsi="Verdana" w:cs="Verdana"/>
          <w:b/>
          <w:sz w:val="20"/>
          <w:szCs w:val="20"/>
          <w:highlight w:val="yellow"/>
        </w:rPr>
        <w:t>Insight: State/Province Field</w:t>
      </w:r>
    </w:p>
    <w:p w14:paraId="7D2D1297" w14:textId="6917FC34" w:rsidR="00D6420B" w:rsidRDefault="00D6420B" w:rsidP="009C625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following changes have been made in Insight to support the use of Canadian addresses:</w:t>
      </w:r>
    </w:p>
    <w:p w14:paraId="5880A51D" w14:textId="2524E03F" w:rsidR="00D6420B" w:rsidRDefault="00A31495" w:rsidP="00D6420B">
      <w:pPr>
        <w:pStyle w:val="ListParagraph"/>
        <w:numPr>
          <w:ilvl w:val="0"/>
          <w:numId w:val="40"/>
        </w:numPr>
        <w:rPr>
          <w:rFonts w:ascii="Verdana" w:hAnsi="Verdana" w:cs="Verdana"/>
          <w:bCs/>
          <w:sz w:val="20"/>
          <w:szCs w:val="20"/>
        </w:rPr>
      </w:pPr>
      <w:r w:rsidRPr="00D6420B">
        <w:rPr>
          <w:rFonts w:ascii="Verdana" w:hAnsi="Verdana" w:cs="Verdana"/>
          <w:bCs/>
          <w:sz w:val="20"/>
          <w:szCs w:val="20"/>
        </w:rPr>
        <w:t>All “State” address fields within Insight</w:t>
      </w:r>
      <w:r w:rsidR="0033194C">
        <w:rPr>
          <w:rFonts w:ascii="Verdana" w:hAnsi="Verdana" w:cs="Verdana"/>
          <w:bCs/>
          <w:sz w:val="20"/>
          <w:szCs w:val="20"/>
        </w:rPr>
        <w:t xml:space="preserve"> (i.e. applicant master profile, printed application, etc</w:t>
      </w:r>
      <w:r w:rsidR="00B539E1">
        <w:rPr>
          <w:rFonts w:ascii="Verdana" w:hAnsi="Verdana" w:cs="Verdana"/>
          <w:bCs/>
          <w:sz w:val="20"/>
          <w:szCs w:val="20"/>
        </w:rPr>
        <w:t>.</w:t>
      </w:r>
      <w:r w:rsidR="0033194C">
        <w:rPr>
          <w:rFonts w:ascii="Verdana" w:hAnsi="Verdana" w:cs="Verdana"/>
          <w:bCs/>
          <w:sz w:val="20"/>
          <w:szCs w:val="20"/>
        </w:rPr>
        <w:t>)</w:t>
      </w:r>
      <w:r w:rsidRPr="00D6420B">
        <w:rPr>
          <w:rFonts w:ascii="Verdana" w:hAnsi="Verdana" w:cs="Verdana"/>
          <w:bCs/>
          <w:sz w:val="20"/>
          <w:szCs w:val="20"/>
        </w:rPr>
        <w:t xml:space="preserve"> have been renamed to “State/Province”. </w:t>
      </w:r>
    </w:p>
    <w:p w14:paraId="01A59A33" w14:textId="1E75FD4B" w:rsidR="00D6420B" w:rsidRPr="00DE628D" w:rsidRDefault="00D6420B" w:rsidP="00D6420B">
      <w:pPr>
        <w:pStyle w:val="ListParagraph"/>
        <w:numPr>
          <w:ilvl w:val="0"/>
          <w:numId w:val="40"/>
        </w:numPr>
        <w:rPr>
          <w:rFonts w:ascii="Verdana" w:hAnsi="Verdana" w:cs="Verdana"/>
          <w:bCs/>
          <w:sz w:val="20"/>
          <w:szCs w:val="20"/>
          <w:highlight w:val="yellow"/>
        </w:rPr>
      </w:pP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The </w:t>
      </w:r>
      <w:r w:rsidR="00A31495" w:rsidRPr="00DE628D">
        <w:rPr>
          <w:rFonts w:ascii="Verdana" w:hAnsi="Verdana" w:cs="Verdana"/>
          <w:bCs/>
          <w:sz w:val="20"/>
          <w:szCs w:val="20"/>
          <w:highlight w:val="yellow"/>
        </w:rPr>
        <w:t>“Country” field on the Applicant Master Profile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</w:t>
      </w:r>
      <w:r w:rsidR="00130E3A" w:rsidRPr="00DE628D">
        <w:rPr>
          <w:rFonts w:ascii="Verdana" w:hAnsi="Verdana" w:cs="Verdana"/>
          <w:bCs/>
          <w:sz w:val="20"/>
          <w:szCs w:val="20"/>
          <w:highlight w:val="yellow"/>
        </w:rPr>
        <w:t>has been changed to a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required field.</w:t>
      </w:r>
    </w:p>
    <w:p w14:paraId="2F82E32A" w14:textId="7DA1CC83" w:rsidR="00513DF9" w:rsidRPr="00DE628D" w:rsidRDefault="00513DF9" w:rsidP="00513DF9">
      <w:pPr>
        <w:pStyle w:val="ListParagraph"/>
        <w:numPr>
          <w:ilvl w:val="0"/>
          <w:numId w:val="40"/>
        </w:numPr>
        <w:rPr>
          <w:rFonts w:ascii="Verdana" w:hAnsi="Verdana" w:cs="Verdana"/>
          <w:bCs/>
          <w:i/>
          <w:iCs/>
          <w:sz w:val="20"/>
          <w:szCs w:val="20"/>
          <w:highlight w:val="yellow"/>
        </w:rPr>
      </w:pP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The selection values within the “State/Province” field on the Applicant Master Profile are now determined by the country selected. If the user selects Canada as the country, the system will display a list of provinces instead of states. If a country other than “US” or “Canada” is selected, the only “State/Province” option available is “International”. </w:t>
      </w:r>
      <w:r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 xml:space="preserve">Please note: If </w:t>
      </w:r>
      <w:r w:rsidR="0033194C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updating</w:t>
      </w:r>
      <w:r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 xml:space="preserve"> the </w:t>
      </w:r>
      <w:r w:rsidR="005D17B5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“C</w:t>
      </w:r>
      <w:r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ountry</w:t>
      </w:r>
      <w:r w:rsidR="005D17B5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”</w:t>
      </w:r>
      <w:r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 xml:space="preserve"> field</w:t>
      </w:r>
      <w:r w:rsidR="00C7628E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 xml:space="preserve"> </w:t>
      </w:r>
      <w:r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due to it previously being blank</w:t>
      </w:r>
      <w:r w:rsidR="0033194C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, the “State/Province” field will reset and need to be re</w:t>
      </w:r>
      <w:r w:rsidR="001C04C6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-</w:t>
      </w:r>
      <w:r w:rsidR="0033194C" w:rsidRPr="00DE628D">
        <w:rPr>
          <w:rFonts w:ascii="Verdana" w:hAnsi="Verdana" w:cs="Verdana"/>
          <w:bCs/>
          <w:i/>
          <w:iCs/>
          <w:sz w:val="20"/>
          <w:szCs w:val="20"/>
          <w:highlight w:val="yellow"/>
        </w:rPr>
        <w:t>selected.</w:t>
      </w:r>
    </w:p>
    <w:p w14:paraId="3D2BCA6B" w14:textId="1D751EE1" w:rsidR="00A31495" w:rsidRPr="00D6420B" w:rsidRDefault="00130E3A" w:rsidP="00D6420B">
      <w:pPr>
        <w:pStyle w:val="ListParagraph"/>
        <w:numPr>
          <w:ilvl w:val="0"/>
          <w:numId w:val="40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 “Zip/Postal Code” field </w:t>
      </w:r>
      <w:r w:rsidR="003543BE">
        <w:rPr>
          <w:rFonts w:ascii="Verdana" w:hAnsi="Verdana" w:cs="Verdana"/>
          <w:bCs/>
          <w:sz w:val="20"/>
          <w:szCs w:val="20"/>
        </w:rPr>
        <w:t>on the Applicant Master Profile</w:t>
      </w:r>
      <w:r w:rsidR="00AD2726">
        <w:rPr>
          <w:rFonts w:ascii="Verdana" w:hAnsi="Verdana" w:cs="Verdana"/>
          <w:bCs/>
          <w:sz w:val="20"/>
          <w:szCs w:val="20"/>
        </w:rPr>
        <w:t xml:space="preserve"> and candidate application</w:t>
      </w:r>
      <w:r w:rsidR="00D934AF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accepts a</w:t>
      </w:r>
      <w:r w:rsidR="00A31495" w:rsidRPr="00D6420B">
        <w:rPr>
          <w:rFonts w:ascii="Verdana" w:hAnsi="Verdana" w:cs="Verdana"/>
          <w:bCs/>
          <w:sz w:val="20"/>
          <w:szCs w:val="20"/>
        </w:rPr>
        <w:t>lphanumeric postal codes</w:t>
      </w:r>
      <w:r w:rsidR="003543BE">
        <w:rPr>
          <w:rFonts w:ascii="Verdana" w:hAnsi="Verdana" w:cs="Verdana"/>
          <w:bCs/>
          <w:sz w:val="20"/>
          <w:szCs w:val="20"/>
        </w:rPr>
        <w:t>.</w:t>
      </w:r>
    </w:p>
    <w:p w14:paraId="4FA71959" w14:textId="044AFBF0" w:rsidR="00513DF9" w:rsidRDefault="00513DF9" w:rsidP="006011B4">
      <w:pPr>
        <w:rPr>
          <w:rFonts w:ascii="Verdana" w:hAnsi="Verdana" w:cs="Verdana"/>
          <w:bCs/>
          <w:sz w:val="20"/>
          <w:szCs w:val="20"/>
        </w:rPr>
      </w:pPr>
    </w:p>
    <w:p w14:paraId="4BAFC788" w14:textId="31867FBA" w:rsidR="003B196A" w:rsidRDefault="003B196A" w:rsidP="006011B4">
      <w:pPr>
        <w:rPr>
          <w:rFonts w:ascii="Verdana" w:hAnsi="Verdana" w:cs="Verdana"/>
          <w:bCs/>
          <w:sz w:val="20"/>
          <w:szCs w:val="20"/>
        </w:rPr>
      </w:pPr>
    </w:p>
    <w:p w14:paraId="0FDEDBD0" w14:textId="73A37AD9" w:rsidR="003B196A" w:rsidRDefault="003B196A" w:rsidP="006011B4">
      <w:pPr>
        <w:rPr>
          <w:rFonts w:ascii="Verdana" w:hAnsi="Verdana" w:cs="Verdana"/>
          <w:bCs/>
          <w:sz w:val="20"/>
          <w:szCs w:val="20"/>
        </w:rPr>
      </w:pPr>
    </w:p>
    <w:p w14:paraId="61ACD130" w14:textId="3DE2101B" w:rsidR="003B196A" w:rsidRDefault="003B196A" w:rsidP="006011B4">
      <w:pPr>
        <w:rPr>
          <w:rFonts w:ascii="Verdana" w:hAnsi="Verdana" w:cs="Verdana"/>
          <w:bCs/>
          <w:sz w:val="20"/>
          <w:szCs w:val="20"/>
        </w:rPr>
      </w:pPr>
    </w:p>
    <w:p w14:paraId="2490A457" w14:textId="5BFD70D9" w:rsidR="003B196A" w:rsidRDefault="003B196A" w:rsidP="006011B4">
      <w:pPr>
        <w:rPr>
          <w:rFonts w:ascii="Verdana" w:hAnsi="Verdana" w:cs="Verdana"/>
          <w:bCs/>
          <w:sz w:val="20"/>
          <w:szCs w:val="20"/>
        </w:rPr>
      </w:pPr>
    </w:p>
    <w:p w14:paraId="24DF2D78" w14:textId="20E01901" w:rsidR="003B196A" w:rsidRDefault="003B196A" w:rsidP="006011B4">
      <w:pPr>
        <w:rPr>
          <w:rFonts w:ascii="Verdana" w:hAnsi="Verdana" w:cs="Verdana"/>
          <w:bCs/>
          <w:sz w:val="20"/>
          <w:szCs w:val="20"/>
        </w:rPr>
      </w:pPr>
    </w:p>
    <w:p w14:paraId="502C0EFC" w14:textId="77777777" w:rsidR="003B196A" w:rsidRDefault="003B196A" w:rsidP="006011B4">
      <w:pPr>
        <w:rPr>
          <w:rFonts w:ascii="Verdana" w:hAnsi="Verdana" w:cs="Verdana"/>
          <w:bCs/>
          <w:sz w:val="20"/>
          <w:szCs w:val="20"/>
        </w:rPr>
      </w:pPr>
    </w:p>
    <w:p w14:paraId="3740842F" w14:textId="7DF77FCB" w:rsidR="002D60CC" w:rsidRDefault="002D60CC" w:rsidP="002D60CC">
      <w:pPr>
        <w:rPr>
          <w:rFonts w:ascii="Verdana" w:hAnsi="Verdana" w:cs="Verdana"/>
          <w:bCs/>
          <w:sz w:val="20"/>
          <w:szCs w:val="20"/>
        </w:rPr>
      </w:pPr>
    </w:p>
    <w:p w14:paraId="5C3284EB" w14:textId="77777777" w:rsidR="00EF08B8" w:rsidRPr="00FD4483" w:rsidRDefault="00EF08B8" w:rsidP="00EF08B8">
      <w:pPr>
        <w:jc w:val="center"/>
        <w:rPr>
          <w:rFonts w:ascii="Verdana" w:hAnsi="Verdana" w:cs="Verdana"/>
          <w:b/>
          <w:i/>
          <w:iCs/>
          <w:sz w:val="18"/>
          <w:szCs w:val="18"/>
        </w:rPr>
      </w:pPr>
      <w:r w:rsidRPr="00FD4483">
        <w:rPr>
          <w:rFonts w:ascii="Verdana" w:hAnsi="Verdana" w:cs="Verdana"/>
          <w:b/>
          <w:i/>
          <w:iCs/>
          <w:sz w:val="18"/>
          <w:szCs w:val="18"/>
        </w:rPr>
        <w:lastRenderedPageBreak/>
        <w:t>Applicant Master Profile</w:t>
      </w:r>
    </w:p>
    <w:p w14:paraId="192225E2" w14:textId="77777777" w:rsidR="00EF08B8" w:rsidRDefault="00EF08B8" w:rsidP="00EF08B8">
      <w:pPr>
        <w:jc w:val="center"/>
        <w:rPr>
          <w:rFonts w:ascii="Verdana" w:hAnsi="Verdana" w:cs="Verdana"/>
          <w:bCs/>
          <w:sz w:val="20"/>
          <w:szCs w:val="20"/>
        </w:rPr>
      </w:pPr>
      <w:r w:rsidRPr="00B414BA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4E1401E7" wp14:editId="1DF16918">
            <wp:extent cx="4781550" cy="2740196"/>
            <wp:effectExtent l="19050" t="19050" r="1905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401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C90CAB" w14:textId="77777777" w:rsidR="00EF08B8" w:rsidRDefault="00EF08B8" w:rsidP="006011B4">
      <w:pPr>
        <w:rPr>
          <w:rFonts w:ascii="Verdana" w:hAnsi="Verdana" w:cs="Verdana"/>
          <w:b/>
          <w:i/>
          <w:iCs/>
          <w:sz w:val="18"/>
          <w:szCs w:val="18"/>
        </w:rPr>
      </w:pPr>
    </w:p>
    <w:p w14:paraId="5672284E" w14:textId="39682091" w:rsidR="003B196A" w:rsidRDefault="003B196A" w:rsidP="003B196A">
      <w:pPr>
        <w:rPr>
          <w:rFonts w:ascii="Verdana" w:hAnsi="Verdana" w:cs="Verdana"/>
          <w:bCs/>
          <w:sz w:val="20"/>
          <w:szCs w:val="20"/>
        </w:rPr>
      </w:pPr>
      <w:r w:rsidRPr="00DE628D">
        <w:rPr>
          <w:rFonts w:ascii="Verdana" w:hAnsi="Verdana" w:cs="Verdana"/>
          <w:bCs/>
          <w:sz w:val="20"/>
          <w:szCs w:val="20"/>
          <w:highlight w:val="yellow"/>
        </w:rPr>
        <w:t>As a result of the above changes, the “Country”</w:t>
      </w:r>
      <w:r w:rsidR="00FF5267"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of residence field has been activated and made required on the candidate application.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</w:t>
      </w:r>
      <w:r w:rsidR="00FF5267" w:rsidRPr="00DE628D">
        <w:rPr>
          <w:rFonts w:ascii="Verdana" w:hAnsi="Verdana" w:cs="Verdana"/>
          <w:bCs/>
          <w:sz w:val="20"/>
          <w:szCs w:val="20"/>
          <w:highlight w:val="yellow"/>
        </w:rPr>
        <w:t>Applicants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will continue to see a field labeled “State”</w:t>
      </w:r>
      <w:r w:rsidR="00FF5267"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that 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>will include a list of US states and territories, Canadian provinces and an “</w:t>
      </w:r>
      <w:r w:rsidR="00B038F0" w:rsidRPr="00DE628D">
        <w:rPr>
          <w:rFonts w:ascii="Verdana" w:hAnsi="Verdana" w:cs="Verdana"/>
          <w:bCs/>
          <w:sz w:val="20"/>
          <w:szCs w:val="20"/>
          <w:highlight w:val="yellow"/>
        </w:rPr>
        <w:t>I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>nternational” option</w:t>
      </w:r>
      <w:r w:rsidR="00257984" w:rsidRPr="00DE628D">
        <w:rPr>
          <w:rFonts w:ascii="Verdana" w:hAnsi="Verdana" w:cs="Verdana"/>
          <w:bCs/>
          <w:sz w:val="20"/>
          <w:szCs w:val="20"/>
          <w:highlight w:val="yellow"/>
        </w:rPr>
        <w:t>. All these options will display to the applicant</w:t>
      </w:r>
      <w:r w:rsidRPr="00DE628D">
        <w:rPr>
          <w:rFonts w:ascii="Verdana" w:hAnsi="Verdana" w:cs="Verdana"/>
          <w:bCs/>
          <w:sz w:val="20"/>
          <w:szCs w:val="20"/>
          <w:highlight w:val="yellow"/>
        </w:rPr>
        <w:t xml:space="preserve"> regardless of what country is selected.</w:t>
      </w:r>
    </w:p>
    <w:p w14:paraId="1569C81E" w14:textId="77777777" w:rsidR="003B196A" w:rsidRDefault="003B196A" w:rsidP="003B196A">
      <w:pPr>
        <w:rPr>
          <w:rFonts w:ascii="Verdana" w:hAnsi="Verdana" w:cs="Verdana"/>
          <w:bCs/>
          <w:sz w:val="20"/>
          <w:szCs w:val="20"/>
        </w:rPr>
      </w:pPr>
    </w:p>
    <w:p w14:paraId="5FA61913" w14:textId="169DA628" w:rsidR="00EF08B8" w:rsidRDefault="00EF08B8" w:rsidP="00EF08B8">
      <w:pPr>
        <w:jc w:val="center"/>
        <w:rPr>
          <w:rFonts w:ascii="Verdana" w:hAnsi="Verdana" w:cs="Verdana"/>
          <w:b/>
          <w:i/>
          <w:iCs/>
          <w:sz w:val="18"/>
          <w:szCs w:val="18"/>
        </w:rPr>
      </w:pPr>
      <w:r w:rsidRPr="00AE6481">
        <w:rPr>
          <w:rFonts w:ascii="Verdana" w:hAnsi="Verdana" w:cs="Verdana"/>
          <w:b/>
          <w:i/>
          <w:iCs/>
          <w:sz w:val="18"/>
          <w:szCs w:val="18"/>
        </w:rPr>
        <w:t>Candidate Applicatio</w:t>
      </w:r>
      <w:r>
        <w:rPr>
          <w:rFonts w:ascii="Verdana" w:hAnsi="Verdana" w:cs="Verdana"/>
          <w:b/>
          <w:i/>
          <w:iCs/>
          <w:sz w:val="18"/>
          <w:szCs w:val="18"/>
        </w:rPr>
        <w:t>n</w:t>
      </w:r>
    </w:p>
    <w:p w14:paraId="7C83DE63" w14:textId="1E3B2FD1" w:rsidR="006A7AC0" w:rsidRDefault="006A7AC0" w:rsidP="00AE6481">
      <w:pPr>
        <w:jc w:val="center"/>
        <w:rPr>
          <w:rFonts w:ascii="Verdana" w:hAnsi="Verdana" w:cs="Verdana"/>
          <w:b/>
          <w:i/>
          <w:iCs/>
          <w:sz w:val="18"/>
          <w:szCs w:val="18"/>
        </w:rPr>
      </w:pPr>
      <w:r w:rsidRPr="006A7AC0">
        <w:rPr>
          <w:rFonts w:ascii="Verdana" w:hAnsi="Verdana" w:cs="Verdana"/>
          <w:b/>
          <w:i/>
          <w:iCs/>
          <w:noProof/>
          <w:sz w:val="18"/>
          <w:szCs w:val="18"/>
        </w:rPr>
        <w:drawing>
          <wp:inline distT="0" distB="0" distL="0" distR="0" wp14:anchorId="72B64B25" wp14:editId="31154C9D">
            <wp:extent cx="4467225" cy="2660392"/>
            <wp:effectExtent l="19050" t="19050" r="9525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3464" cy="26760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CFD593" w14:textId="4B8014BA" w:rsidR="00AE6481" w:rsidRPr="00AE6481" w:rsidRDefault="00AE6481" w:rsidP="00AE6481">
      <w:pPr>
        <w:jc w:val="center"/>
        <w:rPr>
          <w:rFonts w:ascii="Verdana" w:hAnsi="Verdana" w:cs="Verdana"/>
          <w:b/>
          <w:i/>
          <w:iCs/>
          <w:sz w:val="18"/>
          <w:szCs w:val="18"/>
        </w:rPr>
      </w:pPr>
    </w:p>
    <w:p w14:paraId="48DE36FD" w14:textId="703EFF65" w:rsidR="00B84415" w:rsidRPr="009D72E0" w:rsidRDefault="00B84415" w:rsidP="009C625C">
      <w:pPr>
        <w:rPr>
          <w:rFonts w:ascii="Verdana" w:hAnsi="Verdana" w:cs="Verdana"/>
          <w:bCs/>
          <w:sz w:val="20"/>
          <w:szCs w:val="20"/>
        </w:rPr>
      </w:pPr>
    </w:p>
    <w:p w14:paraId="312505F7" w14:textId="5D06BABD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65AA">
            <w:rPr>
              <w:rFonts w:ascii="Verdana" w:hAnsi="Verdana" w:cs="Verdana"/>
              <w:sz w:val="20"/>
              <w:szCs w:val="20"/>
            </w:rPr>
            <w:t>March 2020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20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0F1E0C">
      <w:headerReference w:type="default" r:id="rId21"/>
      <w:footerReference w:type="even" r:id="rId22"/>
      <w:footerReference w:type="default" r:id="rId2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2380" w14:textId="77777777" w:rsidR="005F69C7" w:rsidRDefault="005F69C7">
      <w:r>
        <w:separator/>
      </w:r>
    </w:p>
  </w:endnote>
  <w:endnote w:type="continuationSeparator" w:id="0">
    <w:p w14:paraId="5C5C13CD" w14:textId="77777777" w:rsidR="005F69C7" w:rsidRDefault="005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3089" w14:textId="77777777" w:rsidR="005F69C7" w:rsidRDefault="005F69C7">
      <w:r>
        <w:separator/>
      </w:r>
    </w:p>
  </w:footnote>
  <w:footnote w:type="continuationSeparator" w:id="0">
    <w:p w14:paraId="6FA629B0" w14:textId="77777777" w:rsidR="005F69C7" w:rsidRDefault="005F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9BF41B2" w:rsidR="00C903F3" w:rsidRPr="009C625C" w:rsidRDefault="005F69C7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20624A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0624A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0624A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0624A">
          <w:rPr>
            <w:rFonts w:ascii="Verdana" w:hAnsi="Verdana" w:cs="Arial"/>
            <w:b/>
            <w:bCs/>
            <w:sz w:val="28"/>
            <w:szCs w:val="28"/>
          </w:rPr>
          <w:t>05</w:t>
        </w:r>
        <w:r w:rsidR="0020624A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14:paraId="4287D4CB" w14:textId="7E47E53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C65AA">
      <w:rPr>
        <w:rFonts w:ascii="Verdana" w:hAnsi="Verdana" w:cs="Arial"/>
        <w:sz w:val="20"/>
        <w:szCs w:val="20"/>
      </w:rPr>
      <w:t>0</w:t>
    </w:r>
    <w:r w:rsidR="00B539E1">
      <w:rPr>
        <w:rFonts w:ascii="Verdana" w:hAnsi="Verdana" w:cs="Arial"/>
        <w:sz w:val="20"/>
        <w:szCs w:val="20"/>
      </w:rPr>
      <w:t>4</w:t>
    </w:r>
    <w:r w:rsidR="00985D11">
      <w:rPr>
        <w:rFonts w:ascii="Verdana" w:hAnsi="Verdana" w:cs="Arial"/>
        <w:sz w:val="20"/>
        <w:szCs w:val="20"/>
      </w:rPr>
      <w:t>.</w:t>
    </w:r>
    <w:r w:rsidR="00685944">
      <w:rPr>
        <w:rFonts w:ascii="Verdana" w:hAnsi="Verdana" w:cs="Arial"/>
        <w:sz w:val="20"/>
        <w:szCs w:val="20"/>
      </w:rPr>
      <w:t>0</w:t>
    </w:r>
    <w:r w:rsidR="00766D60">
      <w:rPr>
        <w:rFonts w:ascii="Verdana" w:hAnsi="Verdana" w:cs="Arial"/>
        <w:sz w:val="20"/>
        <w:szCs w:val="20"/>
      </w:rPr>
      <w:t>1</w:t>
    </w:r>
    <w:r w:rsidR="00985D11">
      <w:rPr>
        <w:rFonts w:ascii="Verdana" w:hAnsi="Verdana" w:cs="Arial"/>
        <w:sz w:val="20"/>
        <w:szCs w:val="20"/>
      </w:rPr>
      <w:t>.20</w:t>
    </w:r>
    <w:r w:rsidR="000C65AA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1079FD"/>
    <w:multiLevelType w:val="hybridMultilevel"/>
    <w:tmpl w:val="8A5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6"/>
  </w:num>
  <w:num w:numId="33">
    <w:abstractNumId w:val="19"/>
  </w:num>
  <w:num w:numId="34">
    <w:abstractNumId w:val="17"/>
  </w:num>
  <w:num w:numId="35">
    <w:abstractNumId w:val="5"/>
  </w:num>
  <w:num w:numId="36">
    <w:abstractNumId w:val="37"/>
  </w:num>
  <w:num w:numId="37">
    <w:abstractNumId w:val="23"/>
  </w:num>
  <w:num w:numId="38">
    <w:abstractNumId w:val="28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16146"/>
    <w:rsid w:val="00023915"/>
    <w:rsid w:val="0003213D"/>
    <w:rsid w:val="00040228"/>
    <w:rsid w:val="00041A44"/>
    <w:rsid w:val="00042258"/>
    <w:rsid w:val="00047832"/>
    <w:rsid w:val="000518DD"/>
    <w:rsid w:val="00054CF9"/>
    <w:rsid w:val="000561E3"/>
    <w:rsid w:val="000677CE"/>
    <w:rsid w:val="0007299B"/>
    <w:rsid w:val="00073B6C"/>
    <w:rsid w:val="000814AB"/>
    <w:rsid w:val="0009645F"/>
    <w:rsid w:val="000973C3"/>
    <w:rsid w:val="000A0B0D"/>
    <w:rsid w:val="000A3C11"/>
    <w:rsid w:val="000C6543"/>
    <w:rsid w:val="000C65AA"/>
    <w:rsid w:val="000D0871"/>
    <w:rsid w:val="000D1069"/>
    <w:rsid w:val="000D22E1"/>
    <w:rsid w:val="000D78CE"/>
    <w:rsid w:val="000E28F3"/>
    <w:rsid w:val="000E4D76"/>
    <w:rsid w:val="000E559E"/>
    <w:rsid w:val="000E6BAC"/>
    <w:rsid w:val="000F1E0C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0E3A"/>
    <w:rsid w:val="001332B4"/>
    <w:rsid w:val="00135131"/>
    <w:rsid w:val="00142029"/>
    <w:rsid w:val="0015085F"/>
    <w:rsid w:val="001535E2"/>
    <w:rsid w:val="001601FB"/>
    <w:rsid w:val="00160FAD"/>
    <w:rsid w:val="00163F86"/>
    <w:rsid w:val="00164DFD"/>
    <w:rsid w:val="00170294"/>
    <w:rsid w:val="0017351C"/>
    <w:rsid w:val="00175C94"/>
    <w:rsid w:val="00176CD7"/>
    <w:rsid w:val="001833BD"/>
    <w:rsid w:val="00183489"/>
    <w:rsid w:val="00187086"/>
    <w:rsid w:val="0019063F"/>
    <w:rsid w:val="001938E2"/>
    <w:rsid w:val="00194B6C"/>
    <w:rsid w:val="001A3BF8"/>
    <w:rsid w:val="001A6778"/>
    <w:rsid w:val="001B3B1F"/>
    <w:rsid w:val="001B7158"/>
    <w:rsid w:val="001C04C6"/>
    <w:rsid w:val="001C41D8"/>
    <w:rsid w:val="001D27AD"/>
    <w:rsid w:val="001D6ABF"/>
    <w:rsid w:val="001E351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37AE"/>
    <w:rsid w:val="0020390D"/>
    <w:rsid w:val="00204AB0"/>
    <w:rsid w:val="0020624A"/>
    <w:rsid w:val="002132AC"/>
    <w:rsid w:val="00222BDA"/>
    <w:rsid w:val="00223308"/>
    <w:rsid w:val="00224B5D"/>
    <w:rsid w:val="002277C4"/>
    <w:rsid w:val="0023252F"/>
    <w:rsid w:val="002336DC"/>
    <w:rsid w:val="002418BA"/>
    <w:rsid w:val="002508CB"/>
    <w:rsid w:val="002513E8"/>
    <w:rsid w:val="00254EAB"/>
    <w:rsid w:val="00257984"/>
    <w:rsid w:val="00261AF4"/>
    <w:rsid w:val="00262C4D"/>
    <w:rsid w:val="0026477D"/>
    <w:rsid w:val="0026608F"/>
    <w:rsid w:val="002731E2"/>
    <w:rsid w:val="00273B57"/>
    <w:rsid w:val="00276153"/>
    <w:rsid w:val="00281C3D"/>
    <w:rsid w:val="00291AB4"/>
    <w:rsid w:val="00296667"/>
    <w:rsid w:val="0029768F"/>
    <w:rsid w:val="002A25C9"/>
    <w:rsid w:val="002A29AE"/>
    <w:rsid w:val="002A5A55"/>
    <w:rsid w:val="002B2E7D"/>
    <w:rsid w:val="002C27FD"/>
    <w:rsid w:val="002C5365"/>
    <w:rsid w:val="002C75E6"/>
    <w:rsid w:val="002D05F5"/>
    <w:rsid w:val="002D14CE"/>
    <w:rsid w:val="002D5FEF"/>
    <w:rsid w:val="002D60CC"/>
    <w:rsid w:val="002E058D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1975"/>
    <w:rsid w:val="00323AC2"/>
    <w:rsid w:val="00324421"/>
    <w:rsid w:val="003268CB"/>
    <w:rsid w:val="0033194C"/>
    <w:rsid w:val="0035247B"/>
    <w:rsid w:val="0035262C"/>
    <w:rsid w:val="003543BE"/>
    <w:rsid w:val="00354FA8"/>
    <w:rsid w:val="0036175D"/>
    <w:rsid w:val="00363E80"/>
    <w:rsid w:val="00366DFA"/>
    <w:rsid w:val="00377242"/>
    <w:rsid w:val="00382C9D"/>
    <w:rsid w:val="00387972"/>
    <w:rsid w:val="00396A0F"/>
    <w:rsid w:val="003A3B9F"/>
    <w:rsid w:val="003B17DC"/>
    <w:rsid w:val="003B196A"/>
    <w:rsid w:val="003C059B"/>
    <w:rsid w:val="003C475F"/>
    <w:rsid w:val="003D31C3"/>
    <w:rsid w:val="003D3C16"/>
    <w:rsid w:val="003E2199"/>
    <w:rsid w:val="003E6EE2"/>
    <w:rsid w:val="003F1703"/>
    <w:rsid w:val="003F28EF"/>
    <w:rsid w:val="003F45B6"/>
    <w:rsid w:val="003F4723"/>
    <w:rsid w:val="003F7304"/>
    <w:rsid w:val="00400CE7"/>
    <w:rsid w:val="00406094"/>
    <w:rsid w:val="00412D1B"/>
    <w:rsid w:val="004231E8"/>
    <w:rsid w:val="00430AC7"/>
    <w:rsid w:val="00431645"/>
    <w:rsid w:val="0043167E"/>
    <w:rsid w:val="0043319B"/>
    <w:rsid w:val="00436DC5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680C"/>
    <w:rsid w:val="00487CCC"/>
    <w:rsid w:val="004952E6"/>
    <w:rsid w:val="004954DC"/>
    <w:rsid w:val="004A037D"/>
    <w:rsid w:val="004A43E8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317A"/>
    <w:rsid w:val="004F52F4"/>
    <w:rsid w:val="004F6692"/>
    <w:rsid w:val="0050514C"/>
    <w:rsid w:val="00510D78"/>
    <w:rsid w:val="00512A87"/>
    <w:rsid w:val="00513DF9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2872"/>
    <w:rsid w:val="00544F38"/>
    <w:rsid w:val="0055121A"/>
    <w:rsid w:val="0055410F"/>
    <w:rsid w:val="00557B92"/>
    <w:rsid w:val="00561F4C"/>
    <w:rsid w:val="00566E36"/>
    <w:rsid w:val="005729A8"/>
    <w:rsid w:val="00575F1A"/>
    <w:rsid w:val="005802A0"/>
    <w:rsid w:val="00581953"/>
    <w:rsid w:val="00583DE9"/>
    <w:rsid w:val="00587660"/>
    <w:rsid w:val="00591815"/>
    <w:rsid w:val="005934E1"/>
    <w:rsid w:val="005A5CBB"/>
    <w:rsid w:val="005A73E9"/>
    <w:rsid w:val="005B6644"/>
    <w:rsid w:val="005B72C3"/>
    <w:rsid w:val="005C0E77"/>
    <w:rsid w:val="005C53D0"/>
    <w:rsid w:val="005C6E26"/>
    <w:rsid w:val="005C6F30"/>
    <w:rsid w:val="005C73F5"/>
    <w:rsid w:val="005D17B5"/>
    <w:rsid w:val="005D2FC0"/>
    <w:rsid w:val="005D45D6"/>
    <w:rsid w:val="005E5A3F"/>
    <w:rsid w:val="005F2930"/>
    <w:rsid w:val="005F58F0"/>
    <w:rsid w:val="005F69C7"/>
    <w:rsid w:val="005F6C66"/>
    <w:rsid w:val="0060042E"/>
    <w:rsid w:val="006011B4"/>
    <w:rsid w:val="00602857"/>
    <w:rsid w:val="00611055"/>
    <w:rsid w:val="0061211C"/>
    <w:rsid w:val="00614273"/>
    <w:rsid w:val="00615751"/>
    <w:rsid w:val="00616529"/>
    <w:rsid w:val="006177F6"/>
    <w:rsid w:val="00621CE4"/>
    <w:rsid w:val="00624603"/>
    <w:rsid w:val="006268A7"/>
    <w:rsid w:val="00626E76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67173"/>
    <w:rsid w:val="0067247D"/>
    <w:rsid w:val="00673338"/>
    <w:rsid w:val="00675176"/>
    <w:rsid w:val="00675DE1"/>
    <w:rsid w:val="00676A0C"/>
    <w:rsid w:val="0068221B"/>
    <w:rsid w:val="00684F01"/>
    <w:rsid w:val="00685856"/>
    <w:rsid w:val="00685944"/>
    <w:rsid w:val="00692502"/>
    <w:rsid w:val="00693984"/>
    <w:rsid w:val="006A226E"/>
    <w:rsid w:val="006A62D1"/>
    <w:rsid w:val="006A7AC0"/>
    <w:rsid w:val="006B1B25"/>
    <w:rsid w:val="006B1E7B"/>
    <w:rsid w:val="006C05AB"/>
    <w:rsid w:val="006C3972"/>
    <w:rsid w:val="006C4418"/>
    <w:rsid w:val="006C7545"/>
    <w:rsid w:val="006D189A"/>
    <w:rsid w:val="006D1F1B"/>
    <w:rsid w:val="006D77AA"/>
    <w:rsid w:val="006D7B98"/>
    <w:rsid w:val="006D7BF9"/>
    <w:rsid w:val="006D7CF2"/>
    <w:rsid w:val="006E1525"/>
    <w:rsid w:val="006E3735"/>
    <w:rsid w:val="006F085B"/>
    <w:rsid w:val="006F7B2C"/>
    <w:rsid w:val="007008F5"/>
    <w:rsid w:val="00710DC1"/>
    <w:rsid w:val="007113A3"/>
    <w:rsid w:val="00713EAA"/>
    <w:rsid w:val="007142A8"/>
    <w:rsid w:val="00714973"/>
    <w:rsid w:val="0072076B"/>
    <w:rsid w:val="00720E2C"/>
    <w:rsid w:val="00725A65"/>
    <w:rsid w:val="00726A54"/>
    <w:rsid w:val="00731FC9"/>
    <w:rsid w:val="00740D43"/>
    <w:rsid w:val="00751FA0"/>
    <w:rsid w:val="00755125"/>
    <w:rsid w:val="00761E16"/>
    <w:rsid w:val="007647C4"/>
    <w:rsid w:val="00765CC9"/>
    <w:rsid w:val="00766D60"/>
    <w:rsid w:val="0077618F"/>
    <w:rsid w:val="00777B23"/>
    <w:rsid w:val="007803F8"/>
    <w:rsid w:val="00781D8D"/>
    <w:rsid w:val="007830BC"/>
    <w:rsid w:val="00787080"/>
    <w:rsid w:val="00792831"/>
    <w:rsid w:val="007A0E72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25B4"/>
    <w:rsid w:val="007E56F6"/>
    <w:rsid w:val="007F0EDA"/>
    <w:rsid w:val="007F1CED"/>
    <w:rsid w:val="0080363B"/>
    <w:rsid w:val="00806AA7"/>
    <w:rsid w:val="00807036"/>
    <w:rsid w:val="00811AF0"/>
    <w:rsid w:val="008247D9"/>
    <w:rsid w:val="00825AB0"/>
    <w:rsid w:val="00825BAC"/>
    <w:rsid w:val="008333AC"/>
    <w:rsid w:val="00834767"/>
    <w:rsid w:val="00836BE8"/>
    <w:rsid w:val="00837988"/>
    <w:rsid w:val="0084492A"/>
    <w:rsid w:val="00845566"/>
    <w:rsid w:val="00852857"/>
    <w:rsid w:val="00854632"/>
    <w:rsid w:val="00857868"/>
    <w:rsid w:val="0086028A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4BE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15AF"/>
    <w:rsid w:val="00942DFA"/>
    <w:rsid w:val="00944F2D"/>
    <w:rsid w:val="009561C3"/>
    <w:rsid w:val="0096075D"/>
    <w:rsid w:val="00962A62"/>
    <w:rsid w:val="00965341"/>
    <w:rsid w:val="00971AC1"/>
    <w:rsid w:val="00971D59"/>
    <w:rsid w:val="00975511"/>
    <w:rsid w:val="00981D1D"/>
    <w:rsid w:val="00982221"/>
    <w:rsid w:val="00984559"/>
    <w:rsid w:val="00984676"/>
    <w:rsid w:val="00984A84"/>
    <w:rsid w:val="00985D11"/>
    <w:rsid w:val="009870B6"/>
    <w:rsid w:val="00993AE5"/>
    <w:rsid w:val="00996592"/>
    <w:rsid w:val="00996D54"/>
    <w:rsid w:val="009A25EE"/>
    <w:rsid w:val="009A4E00"/>
    <w:rsid w:val="009A4FDA"/>
    <w:rsid w:val="009A7700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3D39"/>
    <w:rsid w:val="009D4082"/>
    <w:rsid w:val="009D7234"/>
    <w:rsid w:val="009D72E0"/>
    <w:rsid w:val="009E0F81"/>
    <w:rsid w:val="009E5F95"/>
    <w:rsid w:val="009F2FD8"/>
    <w:rsid w:val="009F3B46"/>
    <w:rsid w:val="009F78EC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1495"/>
    <w:rsid w:val="00A35F2E"/>
    <w:rsid w:val="00A416A3"/>
    <w:rsid w:val="00A43D87"/>
    <w:rsid w:val="00A43E3F"/>
    <w:rsid w:val="00A43F2B"/>
    <w:rsid w:val="00A44155"/>
    <w:rsid w:val="00A5009C"/>
    <w:rsid w:val="00A64350"/>
    <w:rsid w:val="00A666D3"/>
    <w:rsid w:val="00A76E13"/>
    <w:rsid w:val="00A82449"/>
    <w:rsid w:val="00A85CEE"/>
    <w:rsid w:val="00A92752"/>
    <w:rsid w:val="00A9361B"/>
    <w:rsid w:val="00A9430B"/>
    <w:rsid w:val="00AA09D9"/>
    <w:rsid w:val="00AA4B7F"/>
    <w:rsid w:val="00AB1F74"/>
    <w:rsid w:val="00AB7356"/>
    <w:rsid w:val="00AC4B6F"/>
    <w:rsid w:val="00AD22B0"/>
    <w:rsid w:val="00AD2726"/>
    <w:rsid w:val="00AD30F5"/>
    <w:rsid w:val="00AD38C5"/>
    <w:rsid w:val="00AD750C"/>
    <w:rsid w:val="00AD79B8"/>
    <w:rsid w:val="00AE0AB9"/>
    <w:rsid w:val="00AE3238"/>
    <w:rsid w:val="00AE6481"/>
    <w:rsid w:val="00AE7726"/>
    <w:rsid w:val="00AF44A6"/>
    <w:rsid w:val="00AF742C"/>
    <w:rsid w:val="00AF7A87"/>
    <w:rsid w:val="00B00AE6"/>
    <w:rsid w:val="00B00FDC"/>
    <w:rsid w:val="00B038F0"/>
    <w:rsid w:val="00B070F3"/>
    <w:rsid w:val="00B07B65"/>
    <w:rsid w:val="00B10CDC"/>
    <w:rsid w:val="00B14D8D"/>
    <w:rsid w:val="00B20ABD"/>
    <w:rsid w:val="00B23E17"/>
    <w:rsid w:val="00B25E4E"/>
    <w:rsid w:val="00B30E1F"/>
    <w:rsid w:val="00B315AB"/>
    <w:rsid w:val="00B322F2"/>
    <w:rsid w:val="00B3324C"/>
    <w:rsid w:val="00B36B04"/>
    <w:rsid w:val="00B36B50"/>
    <w:rsid w:val="00B36E7A"/>
    <w:rsid w:val="00B414BA"/>
    <w:rsid w:val="00B42BDA"/>
    <w:rsid w:val="00B437B2"/>
    <w:rsid w:val="00B44329"/>
    <w:rsid w:val="00B44B18"/>
    <w:rsid w:val="00B458B2"/>
    <w:rsid w:val="00B45EB7"/>
    <w:rsid w:val="00B517A2"/>
    <w:rsid w:val="00B52707"/>
    <w:rsid w:val="00B539E1"/>
    <w:rsid w:val="00B55716"/>
    <w:rsid w:val="00B57E09"/>
    <w:rsid w:val="00B653EB"/>
    <w:rsid w:val="00B84415"/>
    <w:rsid w:val="00B84B15"/>
    <w:rsid w:val="00B84C2D"/>
    <w:rsid w:val="00B84E03"/>
    <w:rsid w:val="00B85152"/>
    <w:rsid w:val="00B85D56"/>
    <w:rsid w:val="00B9185C"/>
    <w:rsid w:val="00B95B91"/>
    <w:rsid w:val="00BA1B41"/>
    <w:rsid w:val="00BA623A"/>
    <w:rsid w:val="00BB1A33"/>
    <w:rsid w:val="00BB24E2"/>
    <w:rsid w:val="00BC08E6"/>
    <w:rsid w:val="00BC1B78"/>
    <w:rsid w:val="00BC2E24"/>
    <w:rsid w:val="00BC2FEF"/>
    <w:rsid w:val="00BC4C0A"/>
    <w:rsid w:val="00BD051B"/>
    <w:rsid w:val="00BD0E3C"/>
    <w:rsid w:val="00BD2786"/>
    <w:rsid w:val="00BD3783"/>
    <w:rsid w:val="00BD4955"/>
    <w:rsid w:val="00BE2BE5"/>
    <w:rsid w:val="00BE3F7C"/>
    <w:rsid w:val="00BE4332"/>
    <w:rsid w:val="00BE5A9B"/>
    <w:rsid w:val="00BF3181"/>
    <w:rsid w:val="00BF47D0"/>
    <w:rsid w:val="00BF6651"/>
    <w:rsid w:val="00BF7E99"/>
    <w:rsid w:val="00C0693F"/>
    <w:rsid w:val="00C0789A"/>
    <w:rsid w:val="00C13502"/>
    <w:rsid w:val="00C1499B"/>
    <w:rsid w:val="00C151E8"/>
    <w:rsid w:val="00C21C6A"/>
    <w:rsid w:val="00C23349"/>
    <w:rsid w:val="00C26D8E"/>
    <w:rsid w:val="00C26F35"/>
    <w:rsid w:val="00C27337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3552"/>
    <w:rsid w:val="00C75723"/>
    <w:rsid w:val="00C75B10"/>
    <w:rsid w:val="00C7628E"/>
    <w:rsid w:val="00C7709E"/>
    <w:rsid w:val="00C8194E"/>
    <w:rsid w:val="00C87240"/>
    <w:rsid w:val="00C8765C"/>
    <w:rsid w:val="00C9010D"/>
    <w:rsid w:val="00C903F3"/>
    <w:rsid w:val="00C91266"/>
    <w:rsid w:val="00C9280E"/>
    <w:rsid w:val="00C9285D"/>
    <w:rsid w:val="00C928E2"/>
    <w:rsid w:val="00C977C2"/>
    <w:rsid w:val="00CA404B"/>
    <w:rsid w:val="00CA5DA0"/>
    <w:rsid w:val="00CB221F"/>
    <w:rsid w:val="00CB3F92"/>
    <w:rsid w:val="00CC022A"/>
    <w:rsid w:val="00CC111D"/>
    <w:rsid w:val="00CC1AEB"/>
    <w:rsid w:val="00CC5230"/>
    <w:rsid w:val="00CC7118"/>
    <w:rsid w:val="00CD6CB5"/>
    <w:rsid w:val="00CE07D7"/>
    <w:rsid w:val="00CE4F4E"/>
    <w:rsid w:val="00CF5A1D"/>
    <w:rsid w:val="00D0686C"/>
    <w:rsid w:val="00D10F71"/>
    <w:rsid w:val="00D16C5E"/>
    <w:rsid w:val="00D2172A"/>
    <w:rsid w:val="00D2365B"/>
    <w:rsid w:val="00D238F2"/>
    <w:rsid w:val="00D31F60"/>
    <w:rsid w:val="00D32413"/>
    <w:rsid w:val="00D32BAD"/>
    <w:rsid w:val="00D357EF"/>
    <w:rsid w:val="00D36E07"/>
    <w:rsid w:val="00D45D44"/>
    <w:rsid w:val="00D50E92"/>
    <w:rsid w:val="00D51A57"/>
    <w:rsid w:val="00D52F2E"/>
    <w:rsid w:val="00D55158"/>
    <w:rsid w:val="00D6420B"/>
    <w:rsid w:val="00D6503F"/>
    <w:rsid w:val="00D65896"/>
    <w:rsid w:val="00D74829"/>
    <w:rsid w:val="00D77618"/>
    <w:rsid w:val="00D806C5"/>
    <w:rsid w:val="00D87ADD"/>
    <w:rsid w:val="00D917B4"/>
    <w:rsid w:val="00D934AF"/>
    <w:rsid w:val="00D93CF2"/>
    <w:rsid w:val="00DA0833"/>
    <w:rsid w:val="00DA0D07"/>
    <w:rsid w:val="00DA2E4A"/>
    <w:rsid w:val="00DA32B8"/>
    <w:rsid w:val="00DA33AF"/>
    <w:rsid w:val="00DA6D81"/>
    <w:rsid w:val="00DB307D"/>
    <w:rsid w:val="00DB33F0"/>
    <w:rsid w:val="00DB53B0"/>
    <w:rsid w:val="00DB5A17"/>
    <w:rsid w:val="00DC0838"/>
    <w:rsid w:val="00DC467C"/>
    <w:rsid w:val="00DD3D5B"/>
    <w:rsid w:val="00DD608E"/>
    <w:rsid w:val="00DE0508"/>
    <w:rsid w:val="00DE628D"/>
    <w:rsid w:val="00DE697D"/>
    <w:rsid w:val="00DF4D1A"/>
    <w:rsid w:val="00DF5056"/>
    <w:rsid w:val="00DF65DF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20BAB"/>
    <w:rsid w:val="00E225D2"/>
    <w:rsid w:val="00E23AD5"/>
    <w:rsid w:val="00E27E23"/>
    <w:rsid w:val="00E33917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4DEA"/>
    <w:rsid w:val="00ED522F"/>
    <w:rsid w:val="00ED5D52"/>
    <w:rsid w:val="00ED5D98"/>
    <w:rsid w:val="00ED6EB9"/>
    <w:rsid w:val="00EE0BBB"/>
    <w:rsid w:val="00EE14CE"/>
    <w:rsid w:val="00EE4243"/>
    <w:rsid w:val="00EF08B8"/>
    <w:rsid w:val="00EF7C88"/>
    <w:rsid w:val="00F007DB"/>
    <w:rsid w:val="00F0332C"/>
    <w:rsid w:val="00F06C35"/>
    <w:rsid w:val="00F07E63"/>
    <w:rsid w:val="00F1467A"/>
    <w:rsid w:val="00F15489"/>
    <w:rsid w:val="00F22310"/>
    <w:rsid w:val="00F32B0C"/>
    <w:rsid w:val="00F355F9"/>
    <w:rsid w:val="00F359CE"/>
    <w:rsid w:val="00F405F6"/>
    <w:rsid w:val="00F43A3E"/>
    <w:rsid w:val="00F45499"/>
    <w:rsid w:val="00F46EFC"/>
    <w:rsid w:val="00F472AE"/>
    <w:rsid w:val="00F5284F"/>
    <w:rsid w:val="00F5352B"/>
    <w:rsid w:val="00F54727"/>
    <w:rsid w:val="00F65BFA"/>
    <w:rsid w:val="00F8399F"/>
    <w:rsid w:val="00F8614A"/>
    <w:rsid w:val="00F87289"/>
    <w:rsid w:val="00F924DE"/>
    <w:rsid w:val="00FA169A"/>
    <w:rsid w:val="00FA34D7"/>
    <w:rsid w:val="00FA3E46"/>
    <w:rsid w:val="00FA4911"/>
    <w:rsid w:val="00FA73AA"/>
    <w:rsid w:val="00FC11EE"/>
    <w:rsid w:val="00FC1A96"/>
    <w:rsid w:val="00FC209E"/>
    <w:rsid w:val="00FD1180"/>
    <w:rsid w:val="00FD4483"/>
    <w:rsid w:val="00FD7412"/>
    <w:rsid w:val="00FE3534"/>
    <w:rsid w:val="00FE3A93"/>
    <w:rsid w:val="00FE643B"/>
    <w:rsid w:val="00FF2959"/>
    <w:rsid w:val="00FF4EB1"/>
    <w:rsid w:val="00FF526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rm.oa.pa.gov/Alerts-and-Transactions/Documents/Talent%20Acq%20Alerts/TA_Alert_2019_09_October_%20Enhancements.docx" TargetMode="External"/><Relationship Id="rId20" Type="http://schemas.openxmlformats.org/officeDocument/2006/relationships/hyperlink" Target="https://oaiss.state.pa.us/HR-Pay_Help_Desk/Login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738D5"/>
    <w:rsid w:val="00220A12"/>
    <w:rsid w:val="003323C4"/>
    <w:rsid w:val="004C64E5"/>
    <w:rsid w:val="004E6CB4"/>
    <w:rsid w:val="006606DE"/>
    <w:rsid w:val="006F1E91"/>
    <w:rsid w:val="00776CC7"/>
    <w:rsid w:val="00875D82"/>
    <w:rsid w:val="008D2F10"/>
    <w:rsid w:val="00990A20"/>
    <w:rsid w:val="00994B7E"/>
    <w:rsid w:val="00A7140F"/>
    <w:rsid w:val="00AD55B1"/>
    <w:rsid w:val="00AE1A6A"/>
    <w:rsid w:val="00BE0890"/>
    <w:rsid w:val="00C36B16"/>
    <w:rsid w:val="00DF3EE8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A20"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  <w:style w:type="paragraph" w:customStyle="1" w:styleId="089FAFED2A434EBB94E1D7D0A746662F">
    <w:name w:val="089FAFED2A434EBB94E1D7D0A746662F"/>
    <w:rsid w:val="00990A20"/>
  </w:style>
  <w:style w:type="paragraph" w:customStyle="1" w:styleId="ED9FF13D80AB442A8B5AB6A9F1A9E39F">
    <w:name w:val="ED9FF13D80AB442A8B5AB6A9F1A9E39F"/>
    <w:rsid w:val="0099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4924E-C4E3-48E4-A135-A145638ED5FF}"/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8CF1F7-62D6-4024-8704-9D4AD55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NEOGOV Enhancements</vt:lpstr>
    </vt:vector>
  </TitlesOfParts>
  <Company>Office of Administration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NEOGOV Enhancements</dc:title>
  <dc:subject>Information regarding the March 2020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29</cp:revision>
  <cp:lastPrinted>2011-02-25T13:44:00Z</cp:lastPrinted>
  <dcterms:created xsi:type="dcterms:W3CDTF">2020-04-01T16:35:00Z</dcterms:created>
  <dcterms:modified xsi:type="dcterms:W3CDTF">2020-04-01T18:01:00Z</dcterms:modified>
  <cp:category>Talent Acquisition Alert</cp:category>
  <cp:contentStatus>2020-05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