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1B9C7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  <w:bookmarkStart w:id="0" w:name="_Hlk23331533"/>
      <w:bookmarkEnd w:id="0"/>
    </w:p>
    <w:p w14:paraId="44B0C94E" w14:textId="6084B166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users within your agency who </w:t>
      </w:r>
      <w:r w:rsidR="00187086">
        <w:rPr>
          <w:rFonts w:ascii="Verdana" w:hAnsi="Verdana" w:cs="Verdana"/>
          <w:b/>
          <w:bCs/>
          <w:i/>
          <w:iCs/>
          <w:sz w:val="20"/>
          <w:szCs w:val="20"/>
        </w:rPr>
        <w:t>use the</w:t>
      </w:r>
      <w:r w:rsidR="00BA1B41">
        <w:rPr>
          <w:rFonts w:ascii="Verdana" w:hAnsi="Verdana" w:cs="Verdana"/>
          <w:b/>
          <w:bCs/>
          <w:i/>
          <w:iCs/>
          <w:sz w:val="20"/>
          <w:szCs w:val="20"/>
        </w:rPr>
        <w:t xml:space="preserve"> NEOGOV</w:t>
      </w:r>
      <w:r w:rsidR="001B7158">
        <w:rPr>
          <w:rFonts w:ascii="Verdana" w:hAnsi="Verdana" w:cs="Verdana"/>
          <w:b/>
          <w:bCs/>
          <w:i/>
          <w:iCs/>
          <w:sz w:val="20"/>
          <w:szCs w:val="20"/>
        </w:rPr>
        <w:t>, Applicant Tracking System</w:t>
      </w:r>
      <w:r w:rsidR="000E28F3">
        <w:rPr>
          <w:rFonts w:ascii="Verdana" w:hAnsi="Verdana" w:cs="Verdana"/>
          <w:b/>
          <w:bCs/>
          <w:i/>
          <w:iCs/>
          <w:sz w:val="20"/>
          <w:szCs w:val="20"/>
        </w:rPr>
        <w:t xml:space="preserve"> on a regular basis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4D279026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01D1E158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6BBE90C8" w14:textId="0F8920A3" w:rsidR="00377242" w:rsidRPr="009C625C" w:rsidRDefault="00662841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D32262C9143742D5B8A5A8F68625311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37FEA">
            <w:rPr>
              <w:rFonts w:ascii="Verdana" w:hAnsi="Verdana" w:cs="Verdana"/>
              <w:b/>
              <w:sz w:val="20"/>
              <w:szCs w:val="20"/>
            </w:rPr>
            <w:t>Vacant ITDC Positions to Business Area 81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08C5421F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05F65526" w14:textId="0BB94032" w:rsidR="005E7464" w:rsidRDefault="00662841" w:rsidP="00C433D8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D1DBB4FE9B6345BB8ED9EA40577CFE9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87086" w:rsidRPr="009C625C">
            <w:rPr>
              <w:rFonts w:ascii="Verdana" w:hAnsi="Verdana" w:cs="Verdana"/>
              <w:sz w:val="20"/>
              <w:szCs w:val="20"/>
            </w:rPr>
            <w:t>Information regardin</w:t>
          </w:r>
          <w:r w:rsidR="00187086">
            <w:rPr>
              <w:rFonts w:ascii="Verdana" w:hAnsi="Verdana" w:cs="Verdana"/>
              <w:sz w:val="20"/>
              <w:szCs w:val="20"/>
            </w:rPr>
            <w:t xml:space="preserve">g </w:t>
          </w:r>
          <w:r w:rsidR="00A62FB4">
            <w:rPr>
              <w:rFonts w:ascii="Verdana" w:hAnsi="Verdana" w:cs="Verdana"/>
              <w:sz w:val="20"/>
              <w:szCs w:val="20"/>
            </w:rPr>
            <w:t xml:space="preserve">the transition of </w:t>
          </w:r>
          <w:r w:rsidR="00537FEA">
            <w:rPr>
              <w:rFonts w:ascii="Verdana" w:hAnsi="Verdana" w:cs="Verdana"/>
              <w:sz w:val="20"/>
              <w:szCs w:val="20"/>
            </w:rPr>
            <w:t xml:space="preserve">vacant Information Technology </w:t>
          </w:r>
          <w:r w:rsidR="00A62FB4">
            <w:rPr>
              <w:rFonts w:ascii="Verdana" w:hAnsi="Verdana" w:cs="Verdana"/>
              <w:sz w:val="20"/>
              <w:szCs w:val="20"/>
            </w:rPr>
            <w:t>Delivery Center positions to Business Area 81.</w:t>
          </w:r>
        </w:sdtContent>
      </w:sdt>
    </w:p>
    <w:p w14:paraId="72448A71" w14:textId="4A8015F9" w:rsidR="005E7464" w:rsidRDefault="005E7464" w:rsidP="005E7464">
      <w:pPr>
        <w:rPr>
          <w:rFonts w:ascii="Verdana" w:hAnsi="Verdana" w:cs="Verdana"/>
          <w:sz w:val="20"/>
          <w:szCs w:val="20"/>
        </w:rPr>
      </w:pPr>
    </w:p>
    <w:p w14:paraId="0AD8053A" w14:textId="77777777" w:rsidR="00C83DE9" w:rsidRDefault="00C83DE9" w:rsidP="005E7464">
      <w:pPr>
        <w:rPr>
          <w:rFonts w:ascii="Verdana" w:hAnsi="Verdana" w:cs="Verdana"/>
          <w:sz w:val="20"/>
          <w:szCs w:val="20"/>
        </w:rPr>
      </w:pPr>
    </w:p>
    <w:p w14:paraId="06C8B4EE" w14:textId="169F75DE" w:rsidR="00D93CC6" w:rsidRDefault="005E7464" w:rsidP="005E746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All </w:t>
      </w:r>
      <w:r w:rsidR="00662841">
        <w:rPr>
          <w:rFonts w:ascii="Verdana" w:hAnsi="Verdana" w:cs="Verdana"/>
          <w:sz w:val="20"/>
          <w:szCs w:val="20"/>
        </w:rPr>
        <w:t xml:space="preserve">vacant </w:t>
      </w:r>
      <w:r w:rsidR="005058D7">
        <w:rPr>
          <w:rFonts w:ascii="Verdana" w:hAnsi="Verdana" w:cs="Verdana"/>
          <w:sz w:val="20"/>
          <w:szCs w:val="20"/>
        </w:rPr>
        <w:t>Information Technology Delivery Center</w:t>
      </w:r>
      <w:r w:rsidR="00F603CC">
        <w:rPr>
          <w:rFonts w:ascii="Verdana" w:hAnsi="Verdana" w:cs="Verdana"/>
          <w:sz w:val="20"/>
          <w:szCs w:val="20"/>
        </w:rPr>
        <w:t xml:space="preserve"> (ITDC)</w:t>
      </w:r>
      <w:r>
        <w:rPr>
          <w:rFonts w:ascii="Verdana" w:hAnsi="Verdana" w:cs="Verdana"/>
          <w:sz w:val="20"/>
          <w:szCs w:val="20"/>
        </w:rPr>
        <w:t xml:space="preserve"> positions</w:t>
      </w:r>
      <w:r w:rsidR="00AB6B6F">
        <w:rPr>
          <w:rFonts w:ascii="Verdana" w:hAnsi="Verdana" w:cs="Verdana"/>
          <w:sz w:val="20"/>
          <w:szCs w:val="20"/>
        </w:rPr>
        <w:t xml:space="preserve"> </w:t>
      </w:r>
      <w:r w:rsidR="005058D7">
        <w:rPr>
          <w:rFonts w:ascii="Verdana" w:hAnsi="Verdana" w:cs="Verdana"/>
          <w:sz w:val="20"/>
          <w:szCs w:val="20"/>
        </w:rPr>
        <w:t>will transition to Business Area 81</w:t>
      </w:r>
      <w:r w:rsidR="00C83DE9">
        <w:rPr>
          <w:rFonts w:ascii="Verdana" w:hAnsi="Verdana" w:cs="Verdana"/>
          <w:sz w:val="20"/>
          <w:szCs w:val="20"/>
        </w:rPr>
        <w:t xml:space="preserve"> in SAP and NEOGOV</w:t>
      </w:r>
      <w:r w:rsidR="005058D7">
        <w:rPr>
          <w:rFonts w:ascii="Verdana" w:hAnsi="Verdana" w:cs="Verdana"/>
          <w:sz w:val="20"/>
          <w:szCs w:val="20"/>
        </w:rPr>
        <w:t>, effective</w:t>
      </w:r>
      <w:r w:rsidR="005A61F8">
        <w:rPr>
          <w:rFonts w:ascii="Verdana" w:hAnsi="Verdana" w:cs="Verdana"/>
          <w:sz w:val="20"/>
          <w:szCs w:val="20"/>
        </w:rPr>
        <w:t xml:space="preserve"> Saturday,</w:t>
      </w:r>
      <w:r w:rsidR="005058D7">
        <w:rPr>
          <w:rFonts w:ascii="Verdana" w:hAnsi="Verdana" w:cs="Verdana"/>
          <w:sz w:val="20"/>
          <w:szCs w:val="20"/>
        </w:rPr>
        <w:t xml:space="preserve"> 2/29/2020</w:t>
      </w:r>
      <w:r>
        <w:rPr>
          <w:rFonts w:ascii="Verdana" w:hAnsi="Verdana" w:cs="Verdana"/>
          <w:sz w:val="20"/>
          <w:szCs w:val="20"/>
        </w:rPr>
        <w:t xml:space="preserve">. </w:t>
      </w:r>
      <w:r w:rsidR="00A32997" w:rsidRPr="00BF76C4">
        <w:rPr>
          <w:rFonts w:ascii="Verdana" w:hAnsi="Verdana" w:cs="Verdana"/>
          <w:sz w:val="20"/>
          <w:szCs w:val="20"/>
        </w:rPr>
        <w:t>Movement of the vacant positions will mitigate</w:t>
      </w:r>
      <w:r w:rsidR="00BF76C4" w:rsidRPr="00BF76C4">
        <w:rPr>
          <w:rFonts w:ascii="Verdana" w:hAnsi="Verdana" w:cs="Verdana"/>
          <w:sz w:val="20"/>
          <w:szCs w:val="20"/>
        </w:rPr>
        <w:t xml:space="preserve"> </w:t>
      </w:r>
      <w:r w:rsidR="00A32997" w:rsidRPr="00BF76C4">
        <w:rPr>
          <w:rFonts w:ascii="Verdana" w:hAnsi="Verdana" w:cs="Verdana"/>
          <w:sz w:val="20"/>
          <w:szCs w:val="20"/>
        </w:rPr>
        <w:t xml:space="preserve">potential issues with </w:t>
      </w:r>
      <w:r w:rsidR="00BF76C4">
        <w:rPr>
          <w:rFonts w:ascii="Verdana" w:hAnsi="Verdana" w:cs="Verdana"/>
          <w:sz w:val="20"/>
          <w:szCs w:val="20"/>
        </w:rPr>
        <w:t>reassigning</w:t>
      </w:r>
      <w:r w:rsidR="00A32997" w:rsidRPr="00BF76C4">
        <w:rPr>
          <w:rFonts w:ascii="Verdana" w:hAnsi="Verdana" w:cs="Verdana"/>
          <w:sz w:val="20"/>
          <w:szCs w:val="20"/>
        </w:rPr>
        <w:t xml:space="preserve"> prospective employees after hire.</w:t>
      </w:r>
    </w:p>
    <w:p w14:paraId="27EEDD81" w14:textId="77777777" w:rsidR="00F603CC" w:rsidRDefault="00F603CC" w:rsidP="005E7464">
      <w:pPr>
        <w:rPr>
          <w:rFonts w:ascii="Verdana" w:hAnsi="Verdana" w:cs="Verdana"/>
          <w:sz w:val="20"/>
          <w:szCs w:val="20"/>
        </w:rPr>
      </w:pPr>
    </w:p>
    <w:p w14:paraId="50F421FF" w14:textId="509A70F9" w:rsidR="00F603CC" w:rsidRPr="00F603CC" w:rsidRDefault="00F603CC" w:rsidP="005E7464">
      <w:pPr>
        <w:rPr>
          <w:rFonts w:ascii="Verdana" w:hAnsi="Verdana" w:cs="Verdana"/>
          <w:b/>
          <w:bCs/>
          <w:sz w:val="20"/>
          <w:szCs w:val="20"/>
          <w:u w:val="single"/>
        </w:rPr>
      </w:pPr>
      <w:r w:rsidRPr="00F603CC">
        <w:rPr>
          <w:rFonts w:ascii="Verdana" w:hAnsi="Verdana" w:cs="Verdana"/>
          <w:b/>
          <w:bCs/>
          <w:sz w:val="20"/>
          <w:szCs w:val="20"/>
          <w:u w:val="single"/>
        </w:rPr>
        <w:t>New Requisitions</w:t>
      </w:r>
    </w:p>
    <w:p w14:paraId="551EB03A" w14:textId="4659DB77" w:rsidR="00F603CC" w:rsidRDefault="005A61F8" w:rsidP="005E746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On Monday, 03/02/2020,</w:t>
      </w:r>
      <w:r w:rsidR="00611389">
        <w:rPr>
          <w:rFonts w:ascii="Verdana" w:hAnsi="Verdana" w:cs="Verdana"/>
          <w:sz w:val="20"/>
          <w:szCs w:val="20"/>
        </w:rPr>
        <w:t xml:space="preserve"> </w:t>
      </w:r>
      <w:r w:rsidR="00F603CC">
        <w:rPr>
          <w:rFonts w:ascii="Verdana" w:hAnsi="Verdana" w:cs="Verdana"/>
          <w:sz w:val="20"/>
          <w:szCs w:val="20"/>
        </w:rPr>
        <w:t>new requisitions</w:t>
      </w:r>
      <w:r w:rsidR="00C83DE9">
        <w:rPr>
          <w:rFonts w:ascii="Verdana" w:hAnsi="Verdana" w:cs="Verdana"/>
          <w:sz w:val="20"/>
          <w:szCs w:val="20"/>
        </w:rPr>
        <w:t xml:space="preserve"> for vacant</w:t>
      </w:r>
      <w:r w:rsidR="00273DA1">
        <w:rPr>
          <w:rFonts w:ascii="Verdana" w:hAnsi="Verdana" w:cs="Verdana"/>
          <w:sz w:val="20"/>
          <w:szCs w:val="20"/>
        </w:rPr>
        <w:t xml:space="preserve"> ITDC</w:t>
      </w:r>
      <w:r w:rsidR="00C83DE9">
        <w:rPr>
          <w:rFonts w:ascii="Verdana" w:hAnsi="Verdana" w:cs="Verdana"/>
          <w:sz w:val="20"/>
          <w:szCs w:val="20"/>
        </w:rPr>
        <w:t xml:space="preserve"> positions</w:t>
      </w:r>
      <w:r w:rsidR="00F603CC">
        <w:rPr>
          <w:rFonts w:ascii="Verdana" w:hAnsi="Verdana" w:cs="Verdana"/>
          <w:sz w:val="20"/>
          <w:szCs w:val="20"/>
        </w:rPr>
        <w:t xml:space="preserve"> must be created under the assigned organization </w:t>
      </w:r>
      <w:r>
        <w:rPr>
          <w:rFonts w:ascii="Verdana" w:hAnsi="Verdana" w:cs="Verdana"/>
          <w:sz w:val="20"/>
          <w:szCs w:val="20"/>
        </w:rPr>
        <w:t>within</w:t>
      </w:r>
      <w:r w:rsidR="00F603CC">
        <w:rPr>
          <w:rFonts w:ascii="Verdana" w:hAnsi="Verdana" w:cs="Verdana"/>
          <w:sz w:val="20"/>
          <w:szCs w:val="20"/>
        </w:rPr>
        <w:t xml:space="preserve"> Business Area 81. </w:t>
      </w:r>
      <w:r w:rsidR="009B049E">
        <w:rPr>
          <w:rFonts w:ascii="Verdana" w:hAnsi="Verdana" w:cs="Verdana"/>
          <w:sz w:val="20"/>
          <w:szCs w:val="20"/>
        </w:rPr>
        <w:t>Positions will no longer be visible under the former agency organization and business area.</w:t>
      </w:r>
    </w:p>
    <w:p w14:paraId="47E46E9C" w14:textId="77777777" w:rsidR="00F603CC" w:rsidRDefault="00F603CC" w:rsidP="005E7464">
      <w:pPr>
        <w:rPr>
          <w:rFonts w:ascii="Verdana" w:hAnsi="Verdana" w:cs="Verdana"/>
          <w:sz w:val="20"/>
          <w:szCs w:val="20"/>
        </w:rPr>
      </w:pPr>
      <w:bookmarkStart w:id="1" w:name="_GoBack"/>
      <w:bookmarkEnd w:id="1"/>
    </w:p>
    <w:p w14:paraId="7DBAADF6" w14:textId="34FA2A50" w:rsidR="005C513E" w:rsidRDefault="00C83DE9" w:rsidP="005E7464">
      <w:pPr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Pending</w:t>
      </w:r>
      <w:r w:rsidR="00F603CC" w:rsidRPr="00F603CC">
        <w:rPr>
          <w:rFonts w:ascii="Verdana" w:hAnsi="Verdana" w:cs="Verdana"/>
          <w:b/>
          <w:bCs/>
          <w:sz w:val="20"/>
          <w:szCs w:val="20"/>
          <w:u w:val="single"/>
        </w:rPr>
        <w:t xml:space="preserve"> Requisitions</w:t>
      </w:r>
    </w:p>
    <w:p w14:paraId="7C3604AB" w14:textId="25222D62" w:rsidR="00CC3E91" w:rsidRPr="00CC3E91" w:rsidRDefault="00CC3E91" w:rsidP="005E746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If there is a selected candidate</w:t>
      </w:r>
      <w:r w:rsidR="00A32997">
        <w:rPr>
          <w:rFonts w:ascii="Verdana" w:hAnsi="Verdana" w:cs="Verdana"/>
          <w:sz w:val="20"/>
          <w:szCs w:val="20"/>
        </w:rPr>
        <w:t xml:space="preserve"> for a requisition associated with </w:t>
      </w:r>
      <w:r w:rsidR="00617CB8">
        <w:rPr>
          <w:rFonts w:ascii="Verdana" w:hAnsi="Verdana" w:cs="Verdana"/>
          <w:sz w:val="20"/>
          <w:szCs w:val="20"/>
        </w:rPr>
        <w:t>a vacant ITDC</w:t>
      </w:r>
      <w:r w:rsidR="00A32997">
        <w:rPr>
          <w:rFonts w:ascii="Verdana" w:hAnsi="Verdana" w:cs="Verdana"/>
          <w:sz w:val="20"/>
          <w:szCs w:val="20"/>
        </w:rPr>
        <w:t xml:space="preserve"> position</w:t>
      </w:r>
      <w:r>
        <w:rPr>
          <w:rFonts w:ascii="Verdana" w:hAnsi="Verdana" w:cs="Verdana"/>
          <w:sz w:val="20"/>
          <w:szCs w:val="20"/>
        </w:rPr>
        <w:t xml:space="preserve">, it is recommended that the hire in NEOGOV be fully processed prior to the </w:t>
      </w:r>
      <w:r w:rsidR="000A55C6">
        <w:rPr>
          <w:rFonts w:ascii="Verdana" w:hAnsi="Verdana" w:cs="Verdana"/>
          <w:sz w:val="20"/>
          <w:szCs w:val="20"/>
        </w:rPr>
        <w:t>position transitioning.</w:t>
      </w:r>
    </w:p>
    <w:p w14:paraId="15C5F6C5" w14:textId="77777777" w:rsidR="00CC3E91" w:rsidRPr="00F603CC" w:rsidRDefault="00CC3E91" w:rsidP="005E7464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5CAF17D7" w14:textId="30F625AC" w:rsidR="005E7464" w:rsidRDefault="00CC3E91" w:rsidP="005E746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Otherwise, </w:t>
      </w:r>
      <w:r w:rsidR="005E7464">
        <w:rPr>
          <w:rFonts w:ascii="Verdana" w:hAnsi="Verdana" w:cs="Verdana"/>
          <w:sz w:val="20"/>
          <w:szCs w:val="20"/>
        </w:rPr>
        <w:t>requisitions for</w:t>
      </w:r>
      <w:r w:rsidR="00BF76C4">
        <w:rPr>
          <w:rFonts w:ascii="Verdana" w:hAnsi="Verdana" w:cs="Verdana"/>
          <w:sz w:val="20"/>
          <w:szCs w:val="20"/>
        </w:rPr>
        <w:t xml:space="preserve"> vacant</w:t>
      </w:r>
      <w:r w:rsidR="005E746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ITDC</w:t>
      </w:r>
      <w:r w:rsidR="0074629A">
        <w:rPr>
          <w:rFonts w:ascii="Verdana" w:hAnsi="Verdana" w:cs="Verdana"/>
          <w:sz w:val="20"/>
          <w:szCs w:val="20"/>
        </w:rPr>
        <w:t xml:space="preserve"> positions</w:t>
      </w:r>
      <w:r w:rsidR="00B56255">
        <w:rPr>
          <w:rFonts w:ascii="Verdana" w:hAnsi="Verdana" w:cs="Verdana"/>
          <w:sz w:val="20"/>
          <w:szCs w:val="20"/>
        </w:rPr>
        <w:t xml:space="preserve"> submitted prior to the position’s transition to Business Area 81</w:t>
      </w:r>
      <w:r w:rsidR="0074629A">
        <w:rPr>
          <w:rFonts w:ascii="Verdana" w:hAnsi="Verdana" w:cs="Verdana"/>
          <w:sz w:val="20"/>
          <w:szCs w:val="20"/>
        </w:rPr>
        <w:t xml:space="preserve"> </w:t>
      </w:r>
      <w:r w:rsidR="00062261">
        <w:rPr>
          <w:rFonts w:ascii="Verdana" w:hAnsi="Verdana" w:cs="Verdana"/>
          <w:sz w:val="20"/>
          <w:szCs w:val="20"/>
        </w:rPr>
        <w:t>must</w:t>
      </w:r>
      <w:r w:rsidR="0074629A">
        <w:rPr>
          <w:rFonts w:ascii="Verdana" w:hAnsi="Verdana" w:cs="Verdana"/>
          <w:sz w:val="20"/>
          <w:szCs w:val="20"/>
        </w:rPr>
        <w:t xml:space="preserve"> be cancelled and resubmitted under the new </w:t>
      </w:r>
      <w:r w:rsidR="00BF76C4">
        <w:rPr>
          <w:rFonts w:ascii="Verdana" w:hAnsi="Verdana" w:cs="Verdana"/>
          <w:sz w:val="20"/>
          <w:szCs w:val="20"/>
        </w:rPr>
        <w:t>organization and business area.</w:t>
      </w:r>
    </w:p>
    <w:p w14:paraId="47346FA2" w14:textId="41AB6EBF" w:rsidR="00F34BAC" w:rsidRDefault="00F34BAC" w:rsidP="00EA63D0">
      <w:pPr>
        <w:tabs>
          <w:tab w:val="left" w:pos="9990"/>
        </w:tabs>
        <w:rPr>
          <w:rFonts w:ascii="Verdana" w:hAnsi="Verdana" w:cs="Verdana"/>
          <w:sz w:val="20"/>
          <w:szCs w:val="20"/>
        </w:rPr>
      </w:pPr>
    </w:p>
    <w:p w14:paraId="529731F2" w14:textId="423E99D9" w:rsidR="00880E63" w:rsidRDefault="00AF462D" w:rsidP="005E746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If the requisition is not recreated under the appropriate organization </w:t>
      </w:r>
      <w:r w:rsidR="00FE176D">
        <w:rPr>
          <w:rFonts w:ascii="Verdana" w:hAnsi="Verdana" w:cs="Verdana"/>
          <w:sz w:val="20"/>
          <w:szCs w:val="20"/>
        </w:rPr>
        <w:t>within</w:t>
      </w:r>
      <w:r>
        <w:rPr>
          <w:rFonts w:ascii="Verdana" w:hAnsi="Verdana" w:cs="Verdana"/>
          <w:sz w:val="20"/>
          <w:szCs w:val="20"/>
        </w:rPr>
        <w:t xml:space="preserve"> Business Area 81, users will receive a</w:t>
      </w:r>
      <w:r w:rsidR="00B56255">
        <w:rPr>
          <w:rFonts w:ascii="Verdana" w:hAnsi="Verdana" w:cs="Verdana"/>
          <w:sz w:val="20"/>
          <w:szCs w:val="20"/>
        </w:rPr>
        <w:t>n incurable</w:t>
      </w:r>
      <w:r>
        <w:rPr>
          <w:rFonts w:ascii="Verdana" w:hAnsi="Verdana" w:cs="Verdana"/>
          <w:sz w:val="20"/>
          <w:szCs w:val="20"/>
        </w:rPr>
        <w:t xml:space="preserve"> </w:t>
      </w:r>
      <w:r w:rsidR="00EF57A1">
        <w:rPr>
          <w:rFonts w:ascii="Verdana" w:hAnsi="Verdana" w:cs="Verdana"/>
          <w:sz w:val="20"/>
          <w:szCs w:val="20"/>
        </w:rPr>
        <w:t>error when generating the hire form for selected candidate</w:t>
      </w:r>
      <w:r w:rsidR="00EA63D0">
        <w:rPr>
          <w:rFonts w:ascii="Verdana" w:hAnsi="Verdana" w:cs="Verdana"/>
          <w:sz w:val="20"/>
          <w:szCs w:val="20"/>
        </w:rPr>
        <w:t>s</w:t>
      </w:r>
      <w:r w:rsidR="00EF57A1">
        <w:rPr>
          <w:rFonts w:ascii="Verdana" w:hAnsi="Verdana" w:cs="Verdana"/>
          <w:sz w:val="20"/>
          <w:szCs w:val="20"/>
        </w:rPr>
        <w:t>. This error will not allow user</w:t>
      </w:r>
      <w:r w:rsidR="0091205A">
        <w:rPr>
          <w:rFonts w:ascii="Verdana" w:hAnsi="Verdana" w:cs="Verdana"/>
          <w:sz w:val="20"/>
          <w:szCs w:val="20"/>
        </w:rPr>
        <w:t>s</w:t>
      </w:r>
      <w:r w:rsidR="00EF57A1">
        <w:rPr>
          <w:rFonts w:ascii="Verdana" w:hAnsi="Verdana" w:cs="Verdana"/>
          <w:sz w:val="20"/>
          <w:szCs w:val="20"/>
        </w:rPr>
        <w:t xml:space="preserve"> to proceed with the hire </w:t>
      </w:r>
      <w:r w:rsidR="0091205A">
        <w:rPr>
          <w:rFonts w:ascii="Verdana" w:hAnsi="Verdana" w:cs="Verdana"/>
          <w:sz w:val="20"/>
          <w:szCs w:val="20"/>
        </w:rPr>
        <w:t xml:space="preserve">action and </w:t>
      </w:r>
      <w:r w:rsidR="00880E63">
        <w:rPr>
          <w:rFonts w:ascii="Verdana" w:hAnsi="Verdana" w:cs="Verdana"/>
          <w:sz w:val="20"/>
          <w:szCs w:val="20"/>
        </w:rPr>
        <w:t>prevent</w:t>
      </w:r>
      <w:r w:rsidR="0091205A">
        <w:rPr>
          <w:rFonts w:ascii="Verdana" w:hAnsi="Verdana" w:cs="Verdana"/>
          <w:sz w:val="20"/>
          <w:szCs w:val="20"/>
        </w:rPr>
        <w:t xml:space="preserve"> them from submitting the request.</w:t>
      </w:r>
      <w:r w:rsidR="00EA63D0">
        <w:rPr>
          <w:rFonts w:ascii="Verdana" w:hAnsi="Verdana" w:cs="Verdana"/>
          <w:sz w:val="20"/>
          <w:szCs w:val="20"/>
        </w:rPr>
        <w:t xml:space="preserve"> </w:t>
      </w:r>
      <w:r w:rsidR="00880E63">
        <w:rPr>
          <w:rFonts w:ascii="Verdana" w:hAnsi="Verdana" w:cs="Verdana"/>
          <w:sz w:val="20"/>
          <w:szCs w:val="20"/>
        </w:rPr>
        <w:t xml:space="preserve">This system validation serves as a safeguard to block users from submitting </w:t>
      </w:r>
      <w:r w:rsidR="00E74D75">
        <w:rPr>
          <w:rFonts w:ascii="Verdana" w:hAnsi="Verdana" w:cs="Verdana"/>
          <w:sz w:val="20"/>
          <w:szCs w:val="20"/>
        </w:rPr>
        <w:t xml:space="preserve">hire action </w:t>
      </w:r>
      <w:r w:rsidR="00880E63">
        <w:rPr>
          <w:rFonts w:ascii="Verdana" w:hAnsi="Verdana" w:cs="Verdana"/>
          <w:sz w:val="20"/>
          <w:szCs w:val="20"/>
        </w:rPr>
        <w:t>requests with positions that might no longer be valid.</w:t>
      </w:r>
    </w:p>
    <w:p w14:paraId="7B8571D9" w14:textId="496D8ED0" w:rsidR="00AF462D" w:rsidRDefault="00AF462D" w:rsidP="005E7464">
      <w:pPr>
        <w:rPr>
          <w:rFonts w:ascii="Verdana" w:hAnsi="Verdana" w:cs="Verdana"/>
          <w:sz w:val="20"/>
          <w:szCs w:val="20"/>
        </w:rPr>
      </w:pPr>
    </w:p>
    <w:p w14:paraId="087AAF01" w14:textId="54808D5E" w:rsidR="00EA63D0" w:rsidRDefault="00AF462D" w:rsidP="00EA63D0">
      <w:pPr>
        <w:tabs>
          <w:tab w:val="left" w:pos="90"/>
          <w:tab w:val="left" w:pos="9990"/>
        </w:tabs>
        <w:jc w:val="center"/>
        <w:rPr>
          <w:rFonts w:ascii="Verdana" w:hAnsi="Verdana" w:cs="Verdana"/>
          <w:sz w:val="20"/>
          <w:szCs w:val="20"/>
        </w:rPr>
      </w:pPr>
      <w:r w:rsidRPr="00AF462D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37214DEF" wp14:editId="4609C69F">
            <wp:extent cx="6313170" cy="1979755"/>
            <wp:effectExtent l="19050" t="19050" r="11430" b="209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65611" cy="202755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C9A016F" w14:textId="7FE9A346" w:rsidR="0074629A" w:rsidRDefault="0074629A" w:rsidP="005E7464">
      <w:pPr>
        <w:rPr>
          <w:rFonts w:ascii="Verdana" w:hAnsi="Verdana" w:cs="Verdana"/>
          <w:sz w:val="20"/>
          <w:szCs w:val="20"/>
        </w:rPr>
      </w:pPr>
    </w:p>
    <w:p w14:paraId="4129B72E" w14:textId="78653833" w:rsidR="00CC3E91" w:rsidRDefault="00CC3E91" w:rsidP="005E7464">
      <w:pPr>
        <w:rPr>
          <w:rFonts w:ascii="Verdana" w:hAnsi="Verdana" w:cs="Verdana"/>
          <w:sz w:val="20"/>
          <w:szCs w:val="20"/>
        </w:rPr>
      </w:pPr>
    </w:p>
    <w:p w14:paraId="5E29EA39" w14:textId="090B638D" w:rsidR="00CC3E91" w:rsidRDefault="00CC3E91" w:rsidP="005E7464">
      <w:pPr>
        <w:rPr>
          <w:rFonts w:ascii="Verdana" w:hAnsi="Verdana" w:cs="Verdana"/>
          <w:sz w:val="20"/>
          <w:szCs w:val="20"/>
        </w:rPr>
      </w:pPr>
    </w:p>
    <w:p w14:paraId="14F6DFB5" w14:textId="77777777" w:rsidR="00CC3E91" w:rsidRDefault="00CC3E91" w:rsidP="005E7464">
      <w:pPr>
        <w:rPr>
          <w:rFonts w:ascii="Verdana" w:hAnsi="Verdana" w:cs="Verdana"/>
          <w:sz w:val="20"/>
          <w:szCs w:val="20"/>
        </w:rPr>
      </w:pPr>
    </w:p>
    <w:p w14:paraId="3605F26A" w14:textId="330A8F1F" w:rsidR="00880E63" w:rsidRDefault="00706275" w:rsidP="00A3318E">
      <w:pPr>
        <w:tabs>
          <w:tab w:val="left" w:pos="90"/>
          <w:tab w:val="left" w:pos="999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U</w:t>
      </w:r>
      <w:r w:rsidR="004C6369">
        <w:rPr>
          <w:rFonts w:ascii="Verdana" w:hAnsi="Verdana" w:cs="Verdana"/>
          <w:sz w:val="20"/>
          <w:szCs w:val="20"/>
        </w:rPr>
        <w:t>sers can</w:t>
      </w:r>
      <w:r w:rsidR="00EA63D0">
        <w:rPr>
          <w:rFonts w:ascii="Verdana" w:hAnsi="Verdana" w:cs="Verdana"/>
          <w:sz w:val="20"/>
          <w:szCs w:val="20"/>
        </w:rPr>
        <w:t xml:space="preserve"> </w:t>
      </w:r>
      <w:r w:rsidR="004C6369">
        <w:rPr>
          <w:rFonts w:ascii="Verdana" w:hAnsi="Verdana" w:cs="Verdana"/>
          <w:sz w:val="20"/>
          <w:szCs w:val="20"/>
        </w:rPr>
        <w:t xml:space="preserve">utilize the copy function </w:t>
      </w:r>
      <w:r>
        <w:rPr>
          <w:rFonts w:ascii="Verdana" w:hAnsi="Verdana" w:cs="Verdana"/>
          <w:sz w:val="20"/>
          <w:szCs w:val="20"/>
        </w:rPr>
        <w:t xml:space="preserve">to </w:t>
      </w:r>
      <w:r w:rsidR="00797CA3">
        <w:rPr>
          <w:rFonts w:ascii="Verdana" w:hAnsi="Verdana" w:cs="Verdana"/>
          <w:sz w:val="20"/>
          <w:szCs w:val="20"/>
        </w:rPr>
        <w:t xml:space="preserve">expedite </w:t>
      </w:r>
      <w:r w:rsidR="00CC3E91">
        <w:rPr>
          <w:rFonts w:ascii="Verdana" w:hAnsi="Verdana" w:cs="Verdana"/>
          <w:sz w:val="20"/>
          <w:szCs w:val="20"/>
        </w:rPr>
        <w:t xml:space="preserve">recreating the </w:t>
      </w:r>
      <w:r>
        <w:rPr>
          <w:rFonts w:ascii="Verdana" w:hAnsi="Verdana" w:cs="Verdana"/>
          <w:sz w:val="20"/>
          <w:szCs w:val="20"/>
        </w:rPr>
        <w:t>requisition. This will simpl</w:t>
      </w:r>
      <w:r w:rsidR="009F636D">
        <w:rPr>
          <w:rFonts w:ascii="Verdana" w:hAnsi="Verdana" w:cs="Verdana"/>
          <w:sz w:val="20"/>
          <w:szCs w:val="20"/>
        </w:rPr>
        <w:t>if</w:t>
      </w:r>
      <w:r>
        <w:rPr>
          <w:rFonts w:ascii="Verdana" w:hAnsi="Verdana" w:cs="Verdana"/>
          <w:sz w:val="20"/>
          <w:szCs w:val="20"/>
        </w:rPr>
        <w:t>y the process and eliminate the need to complete each field on the requisition form.</w:t>
      </w:r>
      <w:r w:rsidR="00A3318E" w:rsidRPr="00A3318E">
        <w:rPr>
          <w:rFonts w:ascii="Verdana" w:hAnsi="Verdana" w:cs="Verdana"/>
          <w:sz w:val="20"/>
          <w:szCs w:val="20"/>
        </w:rPr>
        <w:t xml:space="preserve"> </w:t>
      </w:r>
      <w:r w:rsidR="00BF76C4">
        <w:rPr>
          <w:rFonts w:ascii="Verdana" w:hAnsi="Verdana" w:cs="Verdana"/>
          <w:sz w:val="20"/>
          <w:szCs w:val="20"/>
        </w:rPr>
        <w:t xml:space="preserve"> </w:t>
      </w:r>
      <w:r w:rsidR="00A3318E">
        <w:rPr>
          <w:rFonts w:ascii="Verdana" w:hAnsi="Verdana" w:cs="Verdana"/>
          <w:sz w:val="20"/>
          <w:szCs w:val="20"/>
        </w:rPr>
        <w:t>After copying the requisition, users will need to update the Department/Division field and reselect the position(s) in the Position field.</w:t>
      </w:r>
    </w:p>
    <w:p w14:paraId="78C0D3D8" w14:textId="188BF4F7" w:rsidR="004C6369" w:rsidRDefault="004C6369" w:rsidP="005E7464">
      <w:pPr>
        <w:rPr>
          <w:rFonts w:ascii="Verdana" w:hAnsi="Verdana" w:cs="Verdana"/>
          <w:sz w:val="20"/>
          <w:szCs w:val="20"/>
        </w:rPr>
      </w:pPr>
    </w:p>
    <w:p w14:paraId="4C4165FF" w14:textId="77E11C5C" w:rsidR="004C6369" w:rsidRDefault="004C6369" w:rsidP="00EA63D0">
      <w:pPr>
        <w:tabs>
          <w:tab w:val="left" w:pos="90"/>
          <w:tab w:val="left" w:pos="720"/>
          <w:tab w:val="left" w:pos="9360"/>
          <w:tab w:val="left" w:pos="9450"/>
          <w:tab w:val="left" w:pos="9990"/>
        </w:tabs>
        <w:jc w:val="center"/>
        <w:rPr>
          <w:rFonts w:ascii="Verdana" w:hAnsi="Verdana" w:cs="Verdana"/>
          <w:sz w:val="20"/>
          <w:szCs w:val="20"/>
        </w:rPr>
      </w:pPr>
      <w:r w:rsidRPr="004C6369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03D95A05" wp14:editId="3E10F3C2">
            <wp:extent cx="6297930" cy="1028700"/>
            <wp:effectExtent l="19050" t="19050" r="2667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57151" cy="10873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209E525" w14:textId="4C1DDC67" w:rsidR="00DA78D3" w:rsidRDefault="00DA78D3" w:rsidP="00EA63D0">
      <w:pPr>
        <w:tabs>
          <w:tab w:val="left" w:pos="90"/>
          <w:tab w:val="left" w:pos="9990"/>
        </w:tabs>
        <w:rPr>
          <w:rFonts w:ascii="Verdana" w:hAnsi="Verdana" w:cs="Verdana"/>
          <w:sz w:val="20"/>
          <w:szCs w:val="20"/>
        </w:rPr>
      </w:pPr>
    </w:p>
    <w:p w14:paraId="77DD676C" w14:textId="5CAFF8BD" w:rsidR="00DA78D3" w:rsidRDefault="00DA78D3" w:rsidP="00DA78D3">
      <w:pPr>
        <w:tabs>
          <w:tab w:val="left" w:pos="720"/>
          <w:tab w:val="left" w:pos="9450"/>
        </w:tabs>
        <w:jc w:val="center"/>
        <w:rPr>
          <w:rFonts w:ascii="Verdana" w:hAnsi="Verdana" w:cs="Verdana"/>
          <w:sz w:val="20"/>
          <w:szCs w:val="20"/>
        </w:rPr>
      </w:pPr>
      <w:r w:rsidRPr="00DA78D3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65E6579B" wp14:editId="388EB4DC">
            <wp:extent cx="6313170" cy="3629025"/>
            <wp:effectExtent l="19050" t="19050" r="11430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68230" cy="36606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4295D1F" w14:textId="77777777" w:rsidR="00880E63" w:rsidRDefault="00880E63" w:rsidP="00EA63D0">
      <w:pPr>
        <w:tabs>
          <w:tab w:val="left" w:pos="9990"/>
        </w:tabs>
        <w:rPr>
          <w:rFonts w:ascii="Verdana" w:hAnsi="Verdana" w:cs="Verdana"/>
          <w:sz w:val="20"/>
          <w:szCs w:val="20"/>
        </w:rPr>
      </w:pPr>
    </w:p>
    <w:p w14:paraId="140B0F58" w14:textId="791E6833" w:rsidR="00DF5056" w:rsidRDefault="00FE176D" w:rsidP="00C433D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requisitions will not need to route through any approvals assuming all necessary approvals were obtained on the initial requisition. However, the requisition number for the cancelled </w:t>
      </w:r>
      <w:r w:rsidR="00B56255">
        <w:rPr>
          <w:rFonts w:ascii="Verdana" w:hAnsi="Verdana" w:cs="Verdana"/>
          <w:sz w:val="20"/>
          <w:szCs w:val="20"/>
        </w:rPr>
        <w:t xml:space="preserve">requisition </w:t>
      </w:r>
      <w:r>
        <w:rPr>
          <w:rFonts w:ascii="Verdana" w:hAnsi="Verdana" w:cs="Verdana"/>
          <w:sz w:val="20"/>
          <w:szCs w:val="20"/>
        </w:rPr>
        <w:t>should be added in the comments field.</w:t>
      </w:r>
    </w:p>
    <w:p w14:paraId="4FAB981A" w14:textId="04F6EB3A" w:rsidR="00FE176D" w:rsidRDefault="00FE176D" w:rsidP="00C433D8">
      <w:pPr>
        <w:rPr>
          <w:rFonts w:ascii="Verdana" w:hAnsi="Verdana" w:cs="Verdana"/>
          <w:sz w:val="20"/>
          <w:szCs w:val="20"/>
        </w:rPr>
      </w:pPr>
    </w:p>
    <w:p w14:paraId="72B2C6A2" w14:textId="02F20682" w:rsidR="00510D78" w:rsidRDefault="00B56255" w:rsidP="00CC3E9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If the requisition is for an external posting, </w:t>
      </w:r>
      <w:r w:rsidR="00797CA3">
        <w:rPr>
          <w:rFonts w:ascii="Verdana" w:hAnsi="Verdana" w:cs="Verdana"/>
          <w:sz w:val="20"/>
          <w:szCs w:val="20"/>
        </w:rPr>
        <w:t>users should</w:t>
      </w:r>
      <w:r>
        <w:rPr>
          <w:rFonts w:ascii="Verdana" w:hAnsi="Verdana" w:cs="Verdana"/>
          <w:sz w:val="20"/>
          <w:szCs w:val="20"/>
        </w:rPr>
        <w:t xml:space="preserve"> notify the Bureau of Talent Acquisition (BTA) at the email address, </w:t>
      </w:r>
      <w:hyperlink r:id="rId14" w:history="1">
        <w:r w:rsidRPr="0045175E">
          <w:rPr>
            <w:rStyle w:val="Hyperlink"/>
            <w:rFonts w:ascii="Verdana" w:hAnsi="Verdana" w:cs="Verdana"/>
            <w:sz w:val="20"/>
            <w:szCs w:val="20"/>
          </w:rPr>
          <w:t>ra-cs-vpapa@pa.gov</w:t>
        </w:r>
      </w:hyperlink>
      <w:r>
        <w:rPr>
          <w:rFonts w:ascii="Verdana" w:hAnsi="Verdana" w:cs="Verdana"/>
          <w:sz w:val="20"/>
          <w:szCs w:val="20"/>
        </w:rPr>
        <w:t xml:space="preserve">, after the requisition has been submitted. BTA will link the requisition to the exam plan and refer candidates if </w:t>
      </w:r>
      <w:r w:rsidR="00BF76C4">
        <w:rPr>
          <w:rFonts w:ascii="Verdana" w:hAnsi="Verdana" w:cs="Verdana"/>
          <w:sz w:val="20"/>
          <w:szCs w:val="20"/>
        </w:rPr>
        <w:t>necessary</w:t>
      </w:r>
      <w:r>
        <w:rPr>
          <w:rFonts w:ascii="Verdana" w:hAnsi="Verdana" w:cs="Verdana"/>
          <w:sz w:val="20"/>
          <w:szCs w:val="20"/>
        </w:rPr>
        <w:t xml:space="preserve">.  Otherwise, </w:t>
      </w:r>
      <w:r w:rsidR="00CC3E91">
        <w:rPr>
          <w:rFonts w:ascii="Verdana" w:hAnsi="Verdana" w:cs="Verdana"/>
          <w:sz w:val="20"/>
          <w:szCs w:val="20"/>
        </w:rPr>
        <w:t xml:space="preserve">HRDC </w:t>
      </w:r>
      <w:r w:rsidR="0099042A">
        <w:rPr>
          <w:rFonts w:ascii="Verdana" w:hAnsi="Verdana" w:cs="Verdana"/>
          <w:sz w:val="20"/>
          <w:szCs w:val="20"/>
        </w:rPr>
        <w:t xml:space="preserve">Insight Users must assign the </w:t>
      </w:r>
      <w:r w:rsidR="00F3722A">
        <w:rPr>
          <w:rFonts w:ascii="Verdana" w:hAnsi="Verdana" w:cs="Verdana"/>
          <w:sz w:val="20"/>
          <w:szCs w:val="20"/>
        </w:rPr>
        <w:t>requisition</w:t>
      </w:r>
      <w:r>
        <w:rPr>
          <w:rFonts w:ascii="Verdana" w:hAnsi="Verdana" w:cs="Verdana"/>
          <w:sz w:val="20"/>
          <w:szCs w:val="20"/>
        </w:rPr>
        <w:t>(</w:t>
      </w:r>
      <w:r w:rsidR="00F3722A"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)</w:t>
      </w:r>
      <w:r w:rsidR="0099042A">
        <w:rPr>
          <w:rFonts w:ascii="Verdana" w:hAnsi="Verdana" w:cs="Verdana"/>
          <w:sz w:val="20"/>
          <w:szCs w:val="20"/>
        </w:rPr>
        <w:t xml:space="preserve"> to</w:t>
      </w:r>
      <w:r w:rsidR="00FE176D">
        <w:rPr>
          <w:rFonts w:ascii="Verdana" w:hAnsi="Verdana" w:cs="Verdana"/>
          <w:sz w:val="20"/>
          <w:szCs w:val="20"/>
        </w:rPr>
        <w:t xml:space="preserve"> the applicable exam plan and </w:t>
      </w:r>
      <w:r w:rsidR="0099042A">
        <w:rPr>
          <w:rFonts w:ascii="Verdana" w:hAnsi="Verdana" w:cs="Verdana"/>
          <w:sz w:val="20"/>
          <w:szCs w:val="20"/>
        </w:rPr>
        <w:t>refer candidates</w:t>
      </w:r>
      <w:r w:rsidR="00B12B71">
        <w:rPr>
          <w:rFonts w:ascii="Verdana" w:hAnsi="Verdana" w:cs="Verdana"/>
          <w:sz w:val="20"/>
          <w:szCs w:val="20"/>
        </w:rPr>
        <w:t xml:space="preserve"> as </w:t>
      </w:r>
      <w:r w:rsidR="00BF76C4">
        <w:rPr>
          <w:rFonts w:ascii="Verdana" w:hAnsi="Verdana" w:cs="Verdana"/>
          <w:sz w:val="20"/>
          <w:szCs w:val="20"/>
        </w:rPr>
        <w:t>needed</w:t>
      </w:r>
      <w:r w:rsidR="00FE176D">
        <w:rPr>
          <w:rFonts w:ascii="Verdana" w:hAnsi="Verdana" w:cs="Verdana"/>
          <w:sz w:val="20"/>
          <w:szCs w:val="20"/>
        </w:rPr>
        <w:t>.</w:t>
      </w:r>
      <w:r w:rsidR="00D1500E">
        <w:rPr>
          <w:rFonts w:ascii="Verdana" w:hAnsi="Verdana" w:cs="Verdana"/>
          <w:sz w:val="20"/>
          <w:szCs w:val="20"/>
        </w:rPr>
        <w:t xml:space="preserve"> </w:t>
      </w:r>
    </w:p>
    <w:p w14:paraId="3312990C" w14:textId="3721618B" w:rsidR="00243553" w:rsidRDefault="00243553" w:rsidP="00510D78">
      <w:pPr>
        <w:spacing w:after="60"/>
        <w:rPr>
          <w:rFonts w:ascii="Verdana" w:hAnsi="Verdana" w:cs="Verdana"/>
          <w:sz w:val="20"/>
          <w:szCs w:val="20"/>
        </w:rPr>
      </w:pPr>
    </w:p>
    <w:p w14:paraId="16A7DDB3" w14:textId="77777777" w:rsidR="00BF76C4" w:rsidRPr="00510D78" w:rsidRDefault="00BF76C4" w:rsidP="00510D78">
      <w:pPr>
        <w:spacing w:after="60"/>
        <w:rPr>
          <w:rFonts w:ascii="Verdana" w:hAnsi="Verdana" w:cs="Verdana"/>
          <w:sz w:val="20"/>
          <w:szCs w:val="20"/>
        </w:rPr>
      </w:pPr>
    </w:p>
    <w:p w14:paraId="312505F7" w14:textId="4BE45E7F" w:rsidR="004C237C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</w:r>
      <w:r w:rsidRPr="00DA2E4A">
        <w:rPr>
          <w:rFonts w:ascii="Verdana" w:hAnsi="Verdana" w:cs="Verdana"/>
          <w:sz w:val="20"/>
          <w:szCs w:val="20"/>
        </w:rPr>
        <w:t>If you have any questions regarding</w:t>
      </w:r>
      <w:r w:rsidR="00187086" w:rsidRPr="00DA2E4A">
        <w:rPr>
          <w:rFonts w:ascii="Verdana" w:hAnsi="Verdana" w:cs="Verdana"/>
          <w:sz w:val="20"/>
          <w:szCs w:val="20"/>
        </w:rPr>
        <w:t xml:space="preserve"> the</w:t>
      </w:r>
      <w:r w:rsidRPr="00DA2E4A">
        <w:rPr>
          <w:rFonts w:ascii="Verdana" w:hAnsi="Verdana" w:cs="Verdana"/>
          <w:sz w:val="20"/>
          <w:szCs w:val="20"/>
        </w:rPr>
        <w:t xml:space="preserve">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CE371D3513324C21B3AD639EFE53F39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37FEA">
            <w:rPr>
              <w:rFonts w:ascii="Verdana" w:hAnsi="Verdana" w:cs="Verdana"/>
              <w:sz w:val="20"/>
              <w:szCs w:val="20"/>
            </w:rPr>
            <w:t>Vacant ITDC Positions to Business Area 81</w:t>
          </w:r>
        </w:sdtContent>
      </w:sdt>
      <w:r w:rsidRPr="00DA2E4A">
        <w:rPr>
          <w:rFonts w:ascii="Verdana" w:hAnsi="Verdana" w:cs="Verdana"/>
          <w:sz w:val="20"/>
          <w:szCs w:val="20"/>
        </w:rPr>
        <w:t xml:space="preserve">, please </w:t>
      </w:r>
      <w:r w:rsidR="00187086" w:rsidRPr="00DA2E4A">
        <w:rPr>
          <w:rFonts w:ascii="Verdana" w:hAnsi="Verdana" w:cs="Verdana"/>
          <w:sz w:val="20"/>
          <w:szCs w:val="20"/>
        </w:rPr>
        <w:t xml:space="preserve">submit an </w:t>
      </w:r>
      <w:hyperlink r:id="rId15" w:history="1">
        <w:r w:rsidR="00187086" w:rsidRPr="00DA2E4A">
          <w:rPr>
            <w:rStyle w:val="Hyperlink"/>
            <w:rFonts w:ascii="Verdana" w:hAnsi="Verdana" w:cs="Verdana"/>
            <w:sz w:val="20"/>
            <w:szCs w:val="20"/>
          </w:rPr>
          <w:t>HR/Pay Help Desk</w:t>
        </w:r>
      </w:hyperlink>
      <w:r w:rsidR="00187086" w:rsidRPr="00DA2E4A">
        <w:rPr>
          <w:rFonts w:ascii="Verdana" w:hAnsi="Verdana" w:cs="Verdana"/>
          <w:sz w:val="20"/>
          <w:szCs w:val="20"/>
        </w:rPr>
        <w:t xml:space="preserve"> ticket under the ‘Applications Support’ category.</w:t>
      </w:r>
      <w:r w:rsidR="00807036">
        <w:rPr>
          <w:rFonts w:ascii="Verdana" w:hAnsi="Verdana" w:cs="Verdana"/>
          <w:sz w:val="20"/>
          <w:szCs w:val="20"/>
        </w:rPr>
        <w:t xml:space="preserve"> </w:t>
      </w:r>
    </w:p>
    <w:sectPr w:rsidR="004C237C" w:rsidSect="00DF5056">
      <w:headerReference w:type="default" r:id="rId16"/>
      <w:footerReference w:type="even" r:id="rId17"/>
      <w:footerReference w:type="default" r:id="rId1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50B7A" w14:textId="77777777" w:rsidR="008A6694" w:rsidRDefault="008A6694">
      <w:r>
        <w:separator/>
      </w:r>
    </w:p>
  </w:endnote>
  <w:endnote w:type="continuationSeparator" w:id="0">
    <w:p w14:paraId="719E222D" w14:textId="77777777" w:rsidR="008A6694" w:rsidRDefault="008A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2699C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BA8007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CA639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E75503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4D11B2EC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89082" w14:textId="77777777" w:rsidR="008A6694" w:rsidRDefault="008A6694">
      <w:r>
        <w:separator/>
      </w:r>
    </w:p>
  </w:footnote>
  <w:footnote w:type="continuationSeparator" w:id="0">
    <w:p w14:paraId="55FB042F" w14:textId="77777777" w:rsidR="008A6694" w:rsidRDefault="008A6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F9E7B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100FA05D" w14:textId="6F4B2FAE" w:rsidR="00C903F3" w:rsidRPr="009C625C" w:rsidRDefault="00662841" w:rsidP="00BA1B41">
    <w:pPr>
      <w:pStyle w:val="Header"/>
      <w:tabs>
        <w:tab w:val="clear" w:pos="4320"/>
        <w:tab w:val="cente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-805616052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A1B41">
          <w:rPr>
            <w:rFonts w:ascii="Verdana" w:hAnsi="Verdana" w:cs="Arial"/>
            <w:b/>
            <w:bCs/>
            <w:sz w:val="28"/>
            <w:szCs w:val="28"/>
          </w:rPr>
          <w:t>Talent Acquisition</w:t>
        </w:r>
        <w:r w:rsidR="00C903F3">
          <w:rPr>
            <w:rFonts w:ascii="Verdana" w:hAnsi="Verdana" w:cs="Arial"/>
            <w:b/>
            <w:bCs/>
            <w:sz w:val="28"/>
            <w:szCs w:val="28"/>
          </w:rPr>
          <w:t xml:space="preserve">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85530614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5C513E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-</w:t>
        </w:r>
        <w:r w:rsidR="005C513E">
          <w:rPr>
            <w:rFonts w:ascii="Verdana" w:hAnsi="Verdana" w:cs="Arial"/>
            <w:b/>
            <w:bCs/>
            <w:sz w:val="28"/>
            <w:szCs w:val="28"/>
          </w:rPr>
          <w:t>03</w:t>
        </w:r>
      </w:sdtContent>
    </w:sdt>
  </w:p>
  <w:p w14:paraId="4287D4CB" w14:textId="51E734B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5C513E">
      <w:rPr>
        <w:rFonts w:ascii="Verdana" w:hAnsi="Verdana" w:cs="Arial"/>
        <w:sz w:val="20"/>
        <w:szCs w:val="20"/>
      </w:rPr>
      <w:t>02</w:t>
    </w:r>
    <w:r w:rsidR="00A62FB4">
      <w:rPr>
        <w:rFonts w:ascii="Verdana" w:hAnsi="Verdana" w:cs="Arial"/>
        <w:sz w:val="20"/>
        <w:szCs w:val="20"/>
      </w:rPr>
      <w:t>.</w:t>
    </w:r>
    <w:r w:rsidR="005C513E">
      <w:rPr>
        <w:rFonts w:ascii="Verdana" w:hAnsi="Verdana" w:cs="Arial"/>
        <w:sz w:val="20"/>
        <w:szCs w:val="20"/>
      </w:rPr>
      <w:t>2</w:t>
    </w:r>
    <w:r w:rsidR="00AB6B6F">
      <w:rPr>
        <w:rFonts w:ascii="Verdana" w:hAnsi="Verdana" w:cs="Arial"/>
        <w:sz w:val="20"/>
        <w:szCs w:val="20"/>
      </w:rPr>
      <w:t>7</w:t>
    </w:r>
    <w:r w:rsidR="00A62FB4">
      <w:rPr>
        <w:rFonts w:ascii="Verdana" w:hAnsi="Verdana" w:cs="Arial"/>
        <w:sz w:val="20"/>
        <w:szCs w:val="20"/>
      </w:rPr>
      <w:t>.20</w:t>
    </w:r>
    <w:r w:rsidR="005C513E">
      <w:rPr>
        <w:rFonts w:ascii="Verdana" w:hAnsi="Verdana" w:cs="Arial"/>
        <w:sz w:val="20"/>
        <w:szCs w:val="20"/>
      </w:rPr>
      <w:t>20</w:t>
    </w:r>
  </w:p>
  <w:p w14:paraId="6FFB54BF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17EF1DE6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5A2CF3"/>
    <w:multiLevelType w:val="hybridMultilevel"/>
    <w:tmpl w:val="6286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88C3B74"/>
    <w:multiLevelType w:val="hybridMultilevel"/>
    <w:tmpl w:val="1766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0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408C035D"/>
    <w:multiLevelType w:val="hybridMultilevel"/>
    <w:tmpl w:val="6BAA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82B6DCC"/>
    <w:multiLevelType w:val="hybridMultilevel"/>
    <w:tmpl w:val="F5649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4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9A6274"/>
    <w:multiLevelType w:val="hybridMultilevel"/>
    <w:tmpl w:val="7FD4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4"/>
  </w:num>
  <w:num w:numId="3">
    <w:abstractNumId w:val="21"/>
  </w:num>
  <w:num w:numId="4">
    <w:abstractNumId w:val="31"/>
  </w:num>
  <w:num w:numId="5">
    <w:abstractNumId w:val="33"/>
  </w:num>
  <w:num w:numId="6">
    <w:abstractNumId w:val="30"/>
  </w:num>
  <w:num w:numId="7">
    <w:abstractNumId w:val="14"/>
  </w:num>
  <w:num w:numId="8">
    <w:abstractNumId w:val="32"/>
  </w:num>
  <w:num w:numId="9">
    <w:abstractNumId w:val="7"/>
  </w:num>
  <w:num w:numId="10">
    <w:abstractNumId w:val="23"/>
  </w:num>
  <w:num w:numId="11">
    <w:abstractNumId w:val="13"/>
  </w:num>
  <w:num w:numId="12">
    <w:abstractNumId w:val="35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0"/>
  </w:num>
  <w:num w:numId="16">
    <w:abstractNumId w:val="3"/>
  </w:num>
  <w:num w:numId="17">
    <w:abstractNumId w:val="8"/>
  </w:num>
  <w:num w:numId="18">
    <w:abstractNumId w:val="26"/>
  </w:num>
  <w:num w:numId="19">
    <w:abstractNumId w:val="37"/>
  </w:num>
  <w:num w:numId="20">
    <w:abstractNumId w:val="1"/>
  </w:num>
  <w:num w:numId="21">
    <w:abstractNumId w:val="4"/>
  </w:num>
  <w:num w:numId="22">
    <w:abstractNumId w:val="20"/>
  </w:num>
  <w:num w:numId="23">
    <w:abstractNumId w:val="28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9"/>
  </w:num>
  <w:num w:numId="27">
    <w:abstractNumId w:val="17"/>
  </w:num>
  <w:num w:numId="28">
    <w:abstractNumId w:val="11"/>
  </w:num>
  <w:num w:numId="29">
    <w:abstractNumId w:val="19"/>
  </w:num>
  <w:num w:numId="30">
    <w:abstractNumId w:val="25"/>
  </w:num>
  <w:num w:numId="31">
    <w:abstractNumId w:val="34"/>
  </w:num>
  <w:num w:numId="32">
    <w:abstractNumId w:val="6"/>
  </w:num>
  <w:num w:numId="33">
    <w:abstractNumId w:val="18"/>
  </w:num>
  <w:num w:numId="34">
    <w:abstractNumId w:val="16"/>
  </w:num>
  <w:num w:numId="35">
    <w:abstractNumId w:val="5"/>
  </w:num>
  <w:num w:numId="36">
    <w:abstractNumId w:val="36"/>
  </w:num>
  <w:num w:numId="37">
    <w:abstractNumId w:val="22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78"/>
    <w:rsid w:val="00010771"/>
    <w:rsid w:val="000128F7"/>
    <w:rsid w:val="00015F8F"/>
    <w:rsid w:val="00023915"/>
    <w:rsid w:val="0003213D"/>
    <w:rsid w:val="00041A44"/>
    <w:rsid w:val="00042258"/>
    <w:rsid w:val="00047832"/>
    <w:rsid w:val="00054CF9"/>
    <w:rsid w:val="000561E3"/>
    <w:rsid w:val="00062261"/>
    <w:rsid w:val="000677CE"/>
    <w:rsid w:val="0007299B"/>
    <w:rsid w:val="000973C3"/>
    <w:rsid w:val="000A0B0D"/>
    <w:rsid w:val="000A3C11"/>
    <w:rsid w:val="000A55C6"/>
    <w:rsid w:val="000C6543"/>
    <w:rsid w:val="000D1069"/>
    <w:rsid w:val="000D78CE"/>
    <w:rsid w:val="000E28F3"/>
    <w:rsid w:val="000E4D76"/>
    <w:rsid w:val="000E559E"/>
    <w:rsid w:val="000F123C"/>
    <w:rsid w:val="00103FDC"/>
    <w:rsid w:val="0010609C"/>
    <w:rsid w:val="00106466"/>
    <w:rsid w:val="001113ED"/>
    <w:rsid w:val="0011336B"/>
    <w:rsid w:val="00116A3A"/>
    <w:rsid w:val="00123562"/>
    <w:rsid w:val="00126C7D"/>
    <w:rsid w:val="00130011"/>
    <w:rsid w:val="001332B4"/>
    <w:rsid w:val="00135131"/>
    <w:rsid w:val="0013617C"/>
    <w:rsid w:val="00142029"/>
    <w:rsid w:val="001601FB"/>
    <w:rsid w:val="00160FAD"/>
    <w:rsid w:val="00163F86"/>
    <w:rsid w:val="00170294"/>
    <w:rsid w:val="0017351C"/>
    <w:rsid w:val="00175C94"/>
    <w:rsid w:val="00176CD7"/>
    <w:rsid w:val="001833BD"/>
    <w:rsid w:val="00183489"/>
    <w:rsid w:val="00187086"/>
    <w:rsid w:val="0019063F"/>
    <w:rsid w:val="00194B6C"/>
    <w:rsid w:val="001A3BF8"/>
    <w:rsid w:val="001A6778"/>
    <w:rsid w:val="001B3B1F"/>
    <w:rsid w:val="001B7158"/>
    <w:rsid w:val="001C41D8"/>
    <w:rsid w:val="001D27AD"/>
    <w:rsid w:val="001D6ABF"/>
    <w:rsid w:val="001E41C8"/>
    <w:rsid w:val="001E5838"/>
    <w:rsid w:val="001F0007"/>
    <w:rsid w:val="001F2FC8"/>
    <w:rsid w:val="001F3743"/>
    <w:rsid w:val="0020390D"/>
    <w:rsid w:val="00204AB0"/>
    <w:rsid w:val="002132AC"/>
    <w:rsid w:val="00222BDA"/>
    <w:rsid w:val="00224B5D"/>
    <w:rsid w:val="002277C4"/>
    <w:rsid w:val="0023252F"/>
    <w:rsid w:val="002336DC"/>
    <w:rsid w:val="00243553"/>
    <w:rsid w:val="002513E8"/>
    <w:rsid w:val="00254EAB"/>
    <w:rsid w:val="00261AF4"/>
    <w:rsid w:val="00262C4D"/>
    <w:rsid w:val="0026477D"/>
    <w:rsid w:val="0026608F"/>
    <w:rsid w:val="002731E2"/>
    <w:rsid w:val="00273B57"/>
    <w:rsid w:val="00273DA1"/>
    <w:rsid w:val="00291AB4"/>
    <w:rsid w:val="00296667"/>
    <w:rsid w:val="0029768F"/>
    <w:rsid w:val="002A29AE"/>
    <w:rsid w:val="002B7D28"/>
    <w:rsid w:val="002C27FD"/>
    <w:rsid w:val="002C5365"/>
    <w:rsid w:val="002C58CA"/>
    <w:rsid w:val="002C75E6"/>
    <w:rsid w:val="002D05F5"/>
    <w:rsid w:val="002D5FEF"/>
    <w:rsid w:val="002E1466"/>
    <w:rsid w:val="002E2EC1"/>
    <w:rsid w:val="002E7E5C"/>
    <w:rsid w:val="002F0C17"/>
    <w:rsid w:val="002F73A0"/>
    <w:rsid w:val="003027DA"/>
    <w:rsid w:val="00303D42"/>
    <w:rsid w:val="00303DED"/>
    <w:rsid w:val="00307692"/>
    <w:rsid w:val="0031278B"/>
    <w:rsid w:val="00314D59"/>
    <w:rsid w:val="00315AC7"/>
    <w:rsid w:val="00320821"/>
    <w:rsid w:val="00324421"/>
    <w:rsid w:val="003268CB"/>
    <w:rsid w:val="0035262C"/>
    <w:rsid w:val="00354FA8"/>
    <w:rsid w:val="0036175D"/>
    <w:rsid w:val="00363E80"/>
    <w:rsid w:val="00377242"/>
    <w:rsid w:val="00387972"/>
    <w:rsid w:val="00396A0F"/>
    <w:rsid w:val="003A3B9F"/>
    <w:rsid w:val="003B17DC"/>
    <w:rsid w:val="003C475F"/>
    <w:rsid w:val="003D3C16"/>
    <w:rsid w:val="003D70DD"/>
    <w:rsid w:val="003E2199"/>
    <w:rsid w:val="003E4C7C"/>
    <w:rsid w:val="003F1703"/>
    <w:rsid w:val="003F28EF"/>
    <w:rsid w:val="003F45B6"/>
    <w:rsid w:val="003F7304"/>
    <w:rsid w:val="00400CE7"/>
    <w:rsid w:val="00406094"/>
    <w:rsid w:val="00411A0E"/>
    <w:rsid w:val="00412D1B"/>
    <w:rsid w:val="004231E8"/>
    <w:rsid w:val="00431645"/>
    <w:rsid w:val="0043167E"/>
    <w:rsid w:val="00436DC5"/>
    <w:rsid w:val="00454FFD"/>
    <w:rsid w:val="00455148"/>
    <w:rsid w:val="00464D56"/>
    <w:rsid w:val="00472D0E"/>
    <w:rsid w:val="00473681"/>
    <w:rsid w:val="00477BB0"/>
    <w:rsid w:val="004821A6"/>
    <w:rsid w:val="004827A5"/>
    <w:rsid w:val="00482B93"/>
    <w:rsid w:val="0048680C"/>
    <w:rsid w:val="004952E6"/>
    <w:rsid w:val="004A037D"/>
    <w:rsid w:val="004B0360"/>
    <w:rsid w:val="004B5473"/>
    <w:rsid w:val="004C157A"/>
    <w:rsid w:val="004C237C"/>
    <w:rsid w:val="004C6369"/>
    <w:rsid w:val="004D0398"/>
    <w:rsid w:val="004D2081"/>
    <w:rsid w:val="004E0010"/>
    <w:rsid w:val="004E1A78"/>
    <w:rsid w:val="004F2877"/>
    <w:rsid w:val="004F6692"/>
    <w:rsid w:val="0050181F"/>
    <w:rsid w:val="0050514C"/>
    <w:rsid w:val="005058D7"/>
    <w:rsid w:val="00510D78"/>
    <w:rsid w:val="00512A87"/>
    <w:rsid w:val="00515DAE"/>
    <w:rsid w:val="005165ED"/>
    <w:rsid w:val="00517E5B"/>
    <w:rsid w:val="005255D9"/>
    <w:rsid w:val="00525B66"/>
    <w:rsid w:val="00526EB1"/>
    <w:rsid w:val="005272D1"/>
    <w:rsid w:val="00531D0D"/>
    <w:rsid w:val="00534865"/>
    <w:rsid w:val="00534A60"/>
    <w:rsid w:val="00537FEA"/>
    <w:rsid w:val="005420FE"/>
    <w:rsid w:val="00544F38"/>
    <w:rsid w:val="0055121A"/>
    <w:rsid w:val="0055410F"/>
    <w:rsid w:val="00557B92"/>
    <w:rsid w:val="00561F4C"/>
    <w:rsid w:val="00566E36"/>
    <w:rsid w:val="005729A8"/>
    <w:rsid w:val="00575F1A"/>
    <w:rsid w:val="00581953"/>
    <w:rsid w:val="00583DE9"/>
    <w:rsid w:val="00587660"/>
    <w:rsid w:val="00591815"/>
    <w:rsid w:val="005934E1"/>
    <w:rsid w:val="005A61F8"/>
    <w:rsid w:val="005B72C3"/>
    <w:rsid w:val="005C0E77"/>
    <w:rsid w:val="005C513E"/>
    <w:rsid w:val="005C53D0"/>
    <w:rsid w:val="005C6E26"/>
    <w:rsid w:val="005C73F5"/>
    <w:rsid w:val="005D45D6"/>
    <w:rsid w:val="005E5A3F"/>
    <w:rsid w:val="005E7464"/>
    <w:rsid w:val="005F58F0"/>
    <w:rsid w:val="005F6C66"/>
    <w:rsid w:val="0060042E"/>
    <w:rsid w:val="00602857"/>
    <w:rsid w:val="00611055"/>
    <w:rsid w:val="00611389"/>
    <w:rsid w:val="0061211C"/>
    <w:rsid w:val="00614273"/>
    <w:rsid w:val="00615751"/>
    <w:rsid w:val="00617CB8"/>
    <w:rsid w:val="006268A7"/>
    <w:rsid w:val="0063058E"/>
    <w:rsid w:val="0063145F"/>
    <w:rsid w:val="0063484A"/>
    <w:rsid w:val="00636411"/>
    <w:rsid w:val="00641AEC"/>
    <w:rsid w:val="0064330E"/>
    <w:rsid w:val="00653A73"/>
    <w:rsid w:val="006540DC"/>
    <w:rsid w:val="00655AA4"/>
    <w:rsid w:val="0065736A"/>
    <w:rsid w:val="00661530"/>
    <w:rsid w:val="00662841"/>
    <w:rsid w:val="00665041"/>
    <w:rsid w:val="00666153"/>
    <w:rsid w:val="0067247D"/>
    <w:rsid w:val="00673338"/>
    <w:rsid w:val="00675176"/>
    <w:rsid w:val="00675DE1"/>
    <w:rsid w:val="00685856"/>
    <w:rsid w:val="00692502"/>
    <w:rsid w:val="006A226E"/>
    <w:rsid w:val="006A62D1"/>
    <w:rsid w:val="006B1B25"/>
    <w:rsid w:val="006C05AB"/>
    <w:rsid w:val="006C3972"/>
    <w:rsid w:val="006C4418"/>
    <w:rsid w:val="006C7545"/>
    <w:rsid w:val="006D189A"/>
    <w:rsid w:val="006D7B98"/>
    <w:rsid w:val="006D7BF9"/>
    <w:rsid w:val="006D7CF2"/>
    <w:rsid w:val="006E1525"/>
    <w:rsid w:val="006E3735"/>
    <w:rsid w:val="006F085B"/>
    <w:rsid w:val="006F2C2E"/>
    <w:rsid w:val="006F7B2C"/>
    <w:rsid w:val="007008F5"/>
    <w:rsid w:val="00706275"/>
    <w:rsid w:val="00713EAA"/>
    <w:rsid w:val="007142A8"/>
    <w:rsid w:val="00720E2C"/>
    <w:rsid w:val="00725A65"/>
    <w:rsid w:val="00731FC9"/>
    <w:rsid w:val="00733AA7"/>
    <w:rsid w:val="00740D43"/>
    <w:rsid w:val="0074629A"/>
    <w:rsid w:val="00751FA0"/>
    <w:rsid w:val="00755125"/>
    <w:rsid w:val="00761E16"/>
    <w:rsid w:val="00765CC9"/>
    <w:rsid w:val="00770F50"/>
    <w:rsid w:val="0077618F"/>
    <w:rsid w:val="00777B23"/>
    <w:rsid w:val="007803F8"/>
    <w:rsid w:val="00781D8D"/>
    <w:rsid w:val="007830BC"/>
    <w:rsid w:val="00792831"/>
    <w:rsid w:val="00797CA3"/>
    <w:rsid w:val="007A36B5"/>
    <w:rsid w:val="007A4A1D"/>
    <w:rsid w:val="007B1C44"/>
    <w:rsid w:val="007B23C1"/>
    <w:rsid w:val="007B4FF2"/>
    <w:rsid w:val="007B612B"/>
    <w:rsid w:val="007D4312"/>
    <w:rsid w:val="007D4D67"/>
    <w:rsid w:val="007D6359"/>
    <w:rsid w:val="007D7D05"/>
    <w:rsid w:val="007E103F"/>
    <w:rsid w:val="007E56F6"/>
    <w:rsid w:val="007F0EDA"/>
    <w:rsid w:val="0080363B"/>
    <w:rsid w:val="00806AA7"/>
    <w:rsid w:val="00807036"/>
    <w:rsid w:val="008247D9"/>
    <w:rsid w:val="00825AB0"/>
    <w:rsid w:val="00825BAC"/>
    <w:rsid w:val="008333AC"/>
    <w:rsid w:val="00834767"/>
    <w:rsid w:val="00837988"/>
    <w:rsid w:val="0084492A"/>
    <w:rsid w:val="00852857"/>
    <w:rsid w:val="00854632"/>
    <w:rsid w:val="00857868"/>
    <w:rsid w:val="00861ECF"/>
    <w:rsid w:val="00865E95"/>
    <w:rsid w:val="00873BEF"/>
    <w:rsid w:val="00875301"/>
    <w:rsid w:val="00880E63"/>
    <w:rsid w:val="00891467"/>
    <w:rsid w:val="00892D7C"/>
    <w:rsid w:val="008A3D54"/>
    <w:rsid w:val="008A4E89"/>
    <w:rsid w:val="008A6694"/>
    <w:rsid w:val="008B477C"/>
    <w:rsid w:val="008B5463"/>
    <w:rsid w:val="008C74DA"/>
    <w:rsid w:val="008D04D2"/>
    <w:rsid w:val="008D7296"/>
    <w:rsid w:val="008E042F"/>
    <w:rsid w:val="008E61F8"/>
    <w:rsid w:val="008F3364"/>
    <w:rsid w:val="008F61D5"/>
    <w:rsid w:val="008F71C2"/>
    <w:rsid w:val="00900FC9"/>
    <w:rsid w:val="009045FA"/>
    <w:rsid w:val="00911E3D"/>
    <w:rsid w:val="0091205A"/>
    <w:rsid w:val="009122BA"/>
    <w:rsid w:val="0091296E"/>
    <w:rsid w:val="00914BF3"/>
    <w:rsid w:val="00920CF8"/>
    <w:rsid w:val="00922F9A"/>
    <w:rsid w:val="00923EDA"/>
    <w:rsid w:val="00925D4C"/>
    <w:rsid w:val="00935BDA"/>
    <w:rsid w:val="00944F2D"/>
    <w:rsid w:val="00954D52"/>
    <w:rsid w:val="009561C3"/>
    <w:rsid w:val="00971D59"/>
    <w:rsid w:val="00975511"/>
    <w:rsid w:val="00981D1D"/>
    <w:rsid w:val="00982221"/>
    <w:rsid w:val="00984676"/>
    <w:rsid w:val="00985D11"/>
    <w:rsid w:val="009870B6"/>
    <w:rsid w:val="0099042A"/>
    <w:rsid w:val="00996592"/>
    <w:rsid w:val="00996D54"/>
    <w:rsid w:val="009A25EE"/>
    <w:rsid w:val="009A7700"/>
    <w:rsid w:val="009B049E"/>
    <w:rsid w:val="009B44FD"/>
    <w:rsid w:val="009B7707"/>
    <w:rsid w:val="009C1128"/>
    <w:rsid w:val="009C1B31"/>
    <w:rsid w:val="009C1C8C"/>
    <w:rsid w:val="009C625C"/>
    <w:rsid w:val="009C7C5D"/>
    <w:rsid w:val="009D3D39"/>
    <w:rsid w:val="009D3EA0"/>
    <w:rsid w:val="009D4082"/>
    <w:rsid w:val="009D7234"/>
    <w:rsid w:val="009E0F81"/>
    <w:rsid w:val="009E5F95"/>
    <w:rsid w:val="009F2FD8"/>
    <w:rsid w:val="009F3B46"/>
    <w:rsid w:val="009F636D"/>
    <w:rsid w:val="00A01D78"/>
    <w:rsid w:val="00A02700"/>
    <w:rsid w:val="00A11750"/>
    <w:rsid w:val="00A16566"/>
    <w:rsid w:val="00A17DBF"/>
    <w:rsid w:val="00A20476"/>
    <w:rsid w:val="00A20528"/>
    <w:rsid w:val="00A236EC"/>
    <w:rsid w:val="00A256E4"/>
    <w:rsid w:val="00A32997"/>
    <w:rsid w:val="00A3318E"/>
    <w:rsid w:val="00A35F2E"/>
    <w:rsid w:val="00A416A3"/>
    <w:rsid w:val="00A43D87"/>
    <w:rsid w:val="00A43F2B"/>
    <w:rsid w:val="00A62FB4"/>
    <w:rsid w:val="00A64350"/>
    <w:rsid w:val="00A82449"/>
    <w:rsid w:val="00A85CEE"/>
    <w:rsid w:val="00A92752"/>
    <w:rsid w:val="00A9361B"/>
    <w:rsid w:val="00A9430B"/>
    <w:rsid w:val="00AA09D9"/>
    <w:rsid w:val="00AA4B7F"/>
    <w:rsid w:val="00AB6B6F"/>
    <w:rsid w:val="00AB7356"/>
    <w:rsid w:val="00AC1717"/>
    <w:rsid w:val="00AC4B6F"/>
    <w:rsid w:val="00AD22B0"/>
    <w:rsid w:val="00AD30F5"/>
    <w:rsid w:val="00AD38C5"/>
    <w:rsid w:val="00AD750C"/>
    <w:rsid w:val="00AD79B8"/>
    <w:rsid w:val="00AE3238"/>
    <w:rsid w:val="00AE7726"/>
    <w:rsid w:val="00AF44A6"/>
    <w:rsid w:val="00AF462D"/>
    <w:rsid w:val="00B00AE6"/>
    <w:rsid w:val="00B00FDC"/>
    <w:rsid w:val="00B070F3"/>
    <w:rsid w:val="00B12B71"/>
    <w:rsid w:val="00B13A26"/>
    <w:rsid w:val="00B14D8D"/>
    <w:rsid w:val="00B20ABD"/>
    <w:rsid w:val="00B23E17"/>
    <w:rsid w:val="00B25E4E"/>
    <w:rsid w:val="00B30E1F"/>
    <w:rsid w:val="00B3324C"/>
    <w:rsid w:val="00B36B50"/>
    <w:rsid w:val="00B36E7A"/>
    <w:rsid w:val="00B42BDA"/>
    <w:rsid w:val="00B437B2"/>
    <w:rsid w:val="00B44329"/>
    <w:rsid w:val="00B44B18"/>
    <w:rsid w:val="00B458B2"/>
    <w:rsid w:val="00B45EB7"/>
    <w:rsid w:val="00B517A2"/>
    <w:rsid w:val="00B52707"/>
    <w:rsid w:val="00B54437"/>
    <w:rsid w:val="00B56255"/>
    <w:rsid w:val="00B57E09"/>
    <w:rsid w:val="00B653EB"/>
    <w:rsid w:val="00B84B15"/>
    <w:rsid w:val="00B84C2D"/>
    <w:rsid w:val="00B84E03"/>
    <w:rsid w:val="00B85152"/>
    <w:rsid w:val="00B9185C"/>
    <w:rsid w:val="00BA1B41"/>
    <w:rsid w:val="00BA623A"/>
    <w:rsid w:val="00BB1A33"/>
    <w:rsid w:val="00BC08E6"/>
    <w:rsid w:val="00BC1B78"/>
    <w:rsid w:val="00BC2E24"/>
    <w:rsid w:val="00BC4C0A"/>
    <w:rsid w:val="00BD051B"/>
    <w:rsid w:val="00BD0E3C"/>
    <w:rsid w:val="00BD2786"/>
    <w:rsid w:val="00BD3783"/>
    <w:rsid w:val="00BD4955"/>
    <w:rsid w:val="00BD5F7C"/>
    <w:rsid w:val="00BE5A9B"/>
    <w:rsid w:val="00BF47D0"/>
    <w:rsid w:val="00BF76C4"/>
    <w:rsid w:val="00BF7E99"/>
    <w:rsid w:val="00C0693F"/>
    <w:rsid w:val="00C0789A"/>
    <w:rsid w:val="00C13502"/>
    <w:rsid w:val="00C151E8"/>
    <w:rsid w:val="00C23349"/>
    <w:rsid w:val="00C26D8E"/>
    <w:rsid w:val="00C26F35"/>
    <w:rsid w:val="00C30D2A"/>
    <w:rsid w:val="00C321C3"/>
    <w:rsid w:val="00C3245D"/>
    <w:rsid w:val="00C37928"/>
    <w:rsid w:val="00C4127E"/>
    <w:rsid w:val="00C433D8"/>
    <w:rsid w:val="00C45B7D"/>
    <w:rsid w:val="00C5248E"/>
    <w:rsid w:val="00C5303C"/>
    <w:rsid w:val="00C5457F"/>
    <w:rsid w:val="00C5622D"/>
    <w:rsid w:val="00C60557"/>
    <w:rsid w:val="00C62637"/>
    <w:rsid w:val="00C6531C"/>
    <w:rsid w:val="00C75B10"/>
    <w:rsid w:val="00C7709E"/>
    <w:rsid w:val="00C83DE9"/>
    <w:rsid w:val="00C87240"/>
    <w:rsid w:val="00C8765C"/>
    <w:rsid w:val="00C9010D"/>
    <w:rsid w:val="00C903F3"/>
    <w:rsid w:val="00C9280E"/>
    <w:rsid w:val="00C9285D"/>
    <w:rsid w:val="00C928E2"/>
    <w:rsid w:val="00C977C2"/>
    <w:rsid w:val="00CA404B"/>
    <w:rsid w:val="00CA5DA0"/>
    <w:rsid w:val="00CB221F"/>
    <w:rsid w:val="00CC022A"/>
    <w:rsid w:val="00CC3E91"/>
    <w:rsid w:val="00CC5230"/>
    <w:rsid w:val="00CC7118"/>
    <w:rsid w:val="00CD6CB5"/>
    <w:rsid w:val="00CE07D7"/>
    <w:rsid w:val="00D0686C"/>
    <w:rsid w:val="00D1500E"/>
    <w:rsid w:val="00D16C5E"/>
    <w:rsid w:val="00D2172A"/>
    <w:rsid w:val="00D238F2"/>
    <w:rsid w:val="00D25FE8"/>
    <w:rsid w:val="00D31F60"/>
    <w:rsid w:val="00D32413"/>
    <w:rsid w:val="00D357EF"/>
    <w:rsid w:val="00D36E07"/>
    <w:rsid w:val="00D45D44"/>
    <w:rsid w:val="00D50E92"/>
    <w:rsid w:val="00D51A57"/>
    <w:rsid w:val="00D52F2E"/>
    <w:rsid w:val="00D55158"/>
    <w:rsid w:val="00D65896"/>
    <w:rsid w:val="00D74829"/>
    <w:rsid w:val="00D77618"/>
    <w:rsid w:val="00D806C5"/>
    <w:rsid w:val="00D917B4"/>
    <w:rsid w:val="00D93CC6"/>
    <w:rsid w:val="00D93CF2"/>
    <w:rsid w:val="00DA0833"/>
    <w:rsid w:val="00DA0D07"/>
    <w:rsid w:val="00DA2E4A"/>
    <w:rsid w:val="00DA32B8"/>
    <w:rsid w:val="00DA33AF"/>
    <w:rsid w:val="00DA6D81"/>
    <w:rsid w:val="00DA78D3"/>
    <w:rsid w:val="00DB53B0"/>
    <w:rsid w:val="00DB5A17"/>
    <w:rsid w:val="00DC0838"/>
    <w:rsid w:val="00DC467C"/>
    <w:rsid w:val="00DD3D5B"/>
    <w:rsid w:val="00DD608E"/>
    <w:rsid w:val="00DE0508"/>
    <w:rsid w:val="00DE697D"/>
    <w:rsid w:val="00DF4D1A"/>
    <w:rsid w:val="00DF5056"/>
    <w:rsid w:val="00DF65DF"/>
    <w:rsid w:val="00E03EA1"/>
    <w:rsid w:val="00E04EF9"/>
    <w:rsid w:val="00E0694D"/>
    <w:rsid w:val="00E079F3"/>
    <w:rsid w:val="00E15F7F"/>
    <w:rsid w:val="00E16248"/>
    <w:rsid w:val="00E17911"/>
    <w:rsid w:val="00E23AD5"/>
    <w:rsid w:val="00E27E23"/>
    <w:rsid w:val="00E42C77"/>
    <w:rsid w:val="00E44989"/>
    <w:rsid w:val="00E44A9D"/>
    <w:rsid w:val="00E45772"/>
    <w:rsid w:val="00E4597C"/>
    <w:rsid w:val="00E47563"/>
    <w:rsid w:val="00E55166"/>
    <w:rsid w:val="00E56507"/>
    <w:rsid w:val="00E6374D"/>
    <w:rsid w:val="00E7139F"/>
    <w:rsid w:val="00E74D75"/>
    <w:rsid w:val="00E75503"/>
    <w:rsid w:val="00E76AFF"/>
    <w:rsid w:val="00E800B7"/>
    <w:rsid w:val="00E91151"/>
    <w:rsid w:val="00E94FDB"/>
    <w:rsid w:val="00EA1ECF"/>
    <w:rsid w:val="00EA2151"/>
    <w:rsid w:val="00EA4BC6"/>
    <w:rsid w:val="00EA529F"/>
    <w:rsid w:val="00EA63D0"/>
    <w:rsid w:val="00EB059A"/>
    <w:rsid w:val="00EB310B"/>
    <w:rsid w:val="00EB41EF"/>
    <w:rsid w:val="00EB4892"/>
    <w:rsid w:val="00EB7A03"/>
    <w:rsid w:val="00EC04F8"/>
    <w:rsid w:val="00ED522F"/>
    <w:rsid w:val="00ED5D52"/>
    <w:rsid w:val="00ED5D98"/>
    <w:rsid w:val="00EE0BBB"/>
    <w:rsid w:val="00EE14CE"/>
    <w:rsid w:val="00EE4243"/>
    <w:rsid w:val="00EF57A1"/>
    <w:rsid w:val="00EF7C88"/>
    <w:rsid w:val="00F007DB"/>
    <w:rsid w:val="00F0332C"/>
    <w:rsid w:val="00F07E63"/>
    <w:rsid w:val="00F1467A"/>
    <w:rsid w:val="00F15489"/>
    <w:rsid w:val="00F34BAC"/>
    <w:rsid w:val="00F355F9"/>
    <w:rsid w:val="00F359CE"/>
    <w:rsid w:val="00F3722A"/>
    <w:rsid w:val="00F45499"/>
    <w:rsid w:val="00F46EFC"/>
    <w:rsid w:val="00F5284F"/>
    <w:rsid w:val="00F54727"/>
    <w:rsid w:val="00F603CC"/>
    <w:rsid w:val="00F65BFA"/>
    <w:rsid w:val="00F8399F"/>
    <w:rsid w:val="00F8614A"/>
    <w:rsid w:val="00F87289"/>
    <w:rsid w:val="00FA169A"/>
    <w:rsid w:val="00FA34D7"/>
    <w:rsid w:val="00FA3E46"/>
    <w:rsid w:val="00FA4911"/>
    <w:rsid w:val="00FC11EE"/>
    <w:rsid w:val="00FC1A96"/>
    <w:rsid w:val="00FC209E"/>
    <w:rsid w:val="00FD1180"/>
    <w:rsid w:val="00FD7412"/>
    <w:rsid w:val="00FE176D"/>
    <w:rsid w:val="00FE3534"/>
    <w:rsid w:val="00FE3A93"/>
    <w:rsid w:val="00FF2959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3419BD8"/>
  <w15:docId w15:val="{AC1BA4A5-A32F-4936-8E7B-BF953CF2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A2E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oaiss.state.pa.us/HR-Pay_Help_Desk/Login.asp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a-cs-vpapa@pa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2262C9143742D5B8A5A8F686253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44BBF-A53C-4C9C-86BF-F5B7803BA4C7}"/>
      </w:docPartPr>
      <w:docPartBody>
        <w:p w:rsidR="00220A12" w:rsidRDefault="00220A12">
          <w:pPr>
            <w:pStyle w:val="D32262C9143742D5B8A5A8F68625311C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D1DBB4FE9B6345BB8ED9EA40577CF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BD0A1-5EC9-4674-8A74-6DB1C2D1ADF7}"/>
      </w:docPartPr>
      <w:docPartBody>
        <w:p w:rsidR="00220A12" w:rsidRDefault="00220A12">
          <w:pPr>
            <w:pStyle w:val="D1DBB4FE9B6345BB8ED9EA40577CFE92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CE371D3513324C21B3AD639EFE53F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A837D-836C-4EBA-ACF7-BCDFC47073E1}"/>
      </w:docPartPr>
      <w:docPartBody>
        <w:p w:rsidR="00220A12" w:rsidRDefault="00220A12">
          <w:pPr>
            <w:pStyle w:val="CE371D3513324C21B3AD639EFE53F39F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12"/>
    <w:rsid w:val="00044F9E"/>
    <w:rsid w:val="00220A12"/>
    <w:rsid w:val="003323C4"/>
    <w:rsid w:val="00875D82"/>
    <w:rsid w:val="00883657"/>
    <w:rsid w:val="008E2141"/>
    <w:rsid w:val="00913281"/>
    <w:rsid w:val="00A7140F"/>
    <w:rsid w:val="00AE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D32262C9143742D5B8A5A8F68625311C">
    <w:name w:val="D32262C9143742D5B8A5A8F68625311C"/>
  </w:style>
  <w:style w:type="paragraph" w:customStyle="1" w:styleId="D1DBB4FE9B6345BB8ED9EA40577CFE92">
    <w:name w:val="D1DBB4FE9B6345BB8ED9EA40577CFE92"/>
  </w:style>
  <w:style w:type="paragraph" w:customStyle="1" w:styleId="CE371D3513324C21B3AD639EFE53F39F">
    <w:name w:val="CE371D3513324C21B3AD639EFE53F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ACE61-CF83-4E22-A5C4-040D653AF6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3003C4-3E63-4727-B18A-63C9323E61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2F3892-486D-4D3A-8CB9-ABC40D2729B5}"/>
</file>

<file path=customXml/itemProps4.xml><?xml version="1.0" encoding="utf-8"?>
<ds:datastoreItem xmlns:ds="http://schemas.openxmlformats.org/officeDocument/2006/customXml" ds:itemID="{415238BA-7199-4485-B335-5933A8DC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416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Vacant ITDC Positions to Business Area 81</vt:lpstr>
    </vt:vector>
  </TitlesOfParts>
  <Company>Office of Administration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Vacant ITDC Positions to Business Area 81</dc:title>
  <dc:subject>Information regarding the transition of vacant Information Technology Delivery Center positions to Business Area 81.</dc:subject>
  <dc:creator>Rummel, Jordan</dc:creator>
  <cp:keywords>Description, Keywords, Operations, Personnel Administration</cp:keywords>
  <dc:description/>
  <cp:lastModifiedBy>Rummel, Jordan</cp:lastModifiedBy>
  <cp:revision>107</cp:revision>
  <cp:lastPrinted>2011-02-25T13:44:00Z</cp:lastPrinted>
  <dcterms:created xsi:type="dcterms:W3CDTF">2019-11-08T12:35:00Z</dcterms:created>
  <dcterms:modified xsi:type="dcterms:W3CDTF">2020-02-27T13:49:00Z</dcterms:modified>
  <cp:category>Talent Acquisition Alert</cp:category>
  <cp:contentStatus>2020-03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