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9102" w14:textId="77777777" w:rsidR="00116637" w:rsidRPr="007A3F9F" w:rsidRDefault="00116637" w:rsidP="00C92014">
      <w:pPr>
        <w:spacing w:after="0"/>
        <w:rPr>
          <w:rFonts w:ascii="Verdana" w:hAnsi="Verdana"/>
        </w:rPr>
      </w:pPr>
    </w:p>
    <w:p w14:paraId="7B50AFAC" w14:textId="77777777" w:rsidR="00C92014" w:rsidRPr="007A3F9F" w:rsidRDefault="00C92014" w:rsidP="00C92014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6170514B" w14:textId="77777777" w:rsidR="00C92014" w:rsidRPr="007A3F9F" w:rsidRDefault="00C92014" w:rsidP="00C9201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3F9F">
        <w:rPr>
          <w:rFonts w:ascii="Verdana" w:hAnsi="Verdana"/>
          <w:b/>
          <w:sz w:val="28"/>
          <w:szCs w:val="28"/>
        </w:rPr>
        <w:t>Applicant Notices Report Instructions</w:t>
      </w:r>
    </w:p>
    <w:p w14:paraId="2CEB952C" w14:textId="67F056D0" w:rsidR="00C92014" w:rsidRPr="007A3F9F" w:rsidRDefault="00C92014" w:rsidP="00C92014">
      <w:pPr>
        <w:spacing w:after="0"/>
        <w:jc w:val="center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 xml:space="preserve">Issued </w:t>
      </w:r>
      <w:r w:rsidR="00EE081C">
        <w:rPr>
          <w:rFonts w:ascii="Verdana" w:hAnsi="Verdana"/>
          <w:sz w:val="20"/>
          <w:szCs w:val="20"/>
        </w:rPr>
        <w:t>07.19.2019</w:t>
      </w:r>
    </w:p>
    <w:p w14:paraId="64C6742D" w14:textId="77777777" w:rsidR="00C92014" w:rsidRPr="007A3F9F" w:rsidRDefault="00C92014" w:rsidP="00C9201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63CF38" w14:textId="77777777" w:rsidR="00C92014" w:rsidRPr="007A3F9F" w:rsidRDefault="00C92014" w:rsidP="00C9201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C116E44" w14:textId="30220BBB" w:rsidR="00116637" w:rsidRPr="007A3F9F" w:rsidRDefault="00116637" w:rsidP="00C92014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 xml:space="preserve">Insight users now have access to an </w:t>
      </w:r>
      <w:r w:rsidR="00461100">
        <w:rPr>
          <w:rFonts w:ascii="Verdana" w:hAnsi="Verdana"/>
          <w:sz w:val="20"/>
          <w:szCs w:val="20"/>
        </w:rPr>
        <w:t>A</w:t>
      </w:r>
      <w:r w:rsidRPr="007A3F9F">
        <w:rPr>
          <w:rFonts w:ascii="Verdana" w:hAnsi="Verdana"/>
          <w:sz w:val="20"/>
          <w:szCs w:val="20"/>
        </w:rPr>
        <w:t xml:space="preserve">pplicant </w:t>
      </w:r>
      <w:r w:rsidR="00461100">
        <w:rPr>
          <w:rFonts w:ascii="Verdana" w:hAnsi="Verdana"/>
          <w:sz w:val="20"/>
          <w:szCs w:val="20"/>
        </w:rPr>
        <w:t>N</w:t>
      </w:r>
      <w:r w:rsidRPr="007A3F9F">
        <w:rPr>
          <w:rFonts w:ascii="Verdana" w:hAnsi="Verdana"/>
          <w:sz w:val="20"/>
          <w:szCs w:val="20"/>
        </w:rPr>
        <w:t xml:space="preserve">otices </w:t>
      </w:r>
      <w:r w:rsidR="00461100">
        <w:rPr>
          <w:rFonts w:ascii="Verdana" w:hAnsi="Verdana"/>
          <w:sz w:val="20"/>
          <w:szCs w:val="20"/>
        </w:rPr>
        <w:t>R</w:t>
      </w:r>
      <w:r w:rsidRPr="007A3F9F">
        <w:rPr>
          <w:rFonts w:ascii="Verdana" w:hAnsi="Verdana"/>
          <w:sz w:val="20"/>
          <w:szCs w:val="20"/>
        </w:rPr>
        <w:t xml:space="preserve">eport to help track and analyze notices sent to applicants. </w:t>
      </w:r>
      <w:r w:rsidR="00C92014" w:rsidRPr="007A3F9F">
        <w:rPr>
          <w:rFonts w:ascii="Verdana" w:hAnsi="Verdana"/>
          <w:sz w:val="20"/>
          <w:szCs w:val="20"/>
        </w:rPr>
        <w:t>This new report has several features for users, which includes the ability to filter notices based on the following parameters:</w:t>
      </w:r>
    </w:p>
    <w:p w14:paraId="13BFCECB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Notices Sent From (i.e. Insight or OHC)</w:t>
      </w:r>
    </w:p>
    <w:p w14:paraId="406CFC0A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Date Range</w:t>
      </w:r>
    </w:p>
    <w:p w14:paraId="300DF19D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Notice Type (i.e. Candidate or Talent Search)</w:t>
      </w:r>
    </w:p>
    <w:p w14:paraId="21FACFAE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Notice Template Name</w:t>
      </w:r>
    </w:p>
    <w:p w14:paraId="2DFE102B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Department</w:t>
      </w:r>
    </w:p>
    <w:p w14:paraId="06BEFFD1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Job Spec</w:t>
      </w:r>
    </w:p>
    <w:p w14:paraId="68689F42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Requisition</w:t>
      </w:r>
    </w:p>
    <w:p w14:paraId="10B298DF" w14:textId="77777777" w:rsidR="00C92014" w:rsidRPr="007A3F9F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Exam Plan</w:t>
      </w:r>
    </w:p>
    <w:p w14:paraId="2E9F5A16" w14:textId="3ECB639A" w:rsidR="00C92014" w:rsidRDefault="00C92014" w:rsidP="00C9201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Step Name (</w:t>
      </w:r>
      <w:r w:rsidR="00416C2C">
        <w:rPr>
          <w:rFonts w:ascii="Verdana" w:hAnsi="Verdana"/>
          <w:sz w:val="20"/>
          <w:szCs w:val="20"/>
        </w:rPr>
        <w:t>only available after selecting an Exam Plan filter</w:t>
      </w:r>
      <w:r w:rsidRPr="007A3F9F">
        <w:rPr>
          <w:rFonts w:ascii="Verdana" w:hAnsi="Verdana"/>
          <w:sz w:val="20"/>
          <w:szCs w:val="20"/>
        </w:rPr>
        <w:t>)</w:t>
      </w:r>
    </w:p>
    <w:p w14:paraId="394098C5" w14:textId="3907A82D" w:rsidR="00C92014" w:rsidRDefault="00C92014" w:rsidP="00C9201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5CB916C" w14:textId="77777777" w:rsidR="00CC2522" w:rsidRPr="007A3F9F" w:rsidRDefault="00CC2522" w:rsidP="00C92014">
      <w:pPr>
        <w:spacing w:after="0"/>
        <w:rPr>
          <w:rFonts w:ascii="Verdana" w:hAnsi="Verdana"/>
          <w:sz w:val="20"/>
          <w:szCs w:val="20"/>
        </w:rPr>
      </w:pPr>
    </w:p>
    <w:p w14:paraId="7E319DC5" w14:textId="29A41E60" w:rsidR="00C92014" w:rsidRPr="007A3F9F" w:rsidRDefault="00C92014" w:rsidP="00C92014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This set of instructions will walk through how to access and use the following</w:t>
      </w:r>
      <w:r w:rsidR="00461100">
        <w:rPr>
          <w:rFonts w:ascii="Verdana" w:hAnsi="Verdana"/>
          <w:sz w:val="20"/>
          <w:szCs w:val="20"/>
        </w:rPr>
        <w:t xml:space="preserve"> Applicant Notices</w:t>
      </w:r>
      <w:r w:rsidRPr="007A3F9F">
        <w:rPr>
          <w:rFonts w:ascii="Verdana" w:hAnsi="Verdana"/>
          <w:sz w:val="20"/>
          <w:szCs w:val="20"/>
        </w:rPr>
        <w:t xml:space="preserve"> </w:t>
      </w:r>
      <w:r w:rsidR="00461100">
        <w:rPr>
          <w:rFonts w:ascii="Verdana" w:hAnsi="Verdana"/>
          <w:sz w:val="20"/>
          <w:szCs w:val="20"/>
        </w:rPr>
        <w:t>R</w:t>
      </w:r>
      <w:r w:rsidRPr="007A3F9F">
        <w:rPr>
          <w:rFonts w:ascii="Verdana" w:hAnsi="Verdana"/>
          <w:sz w:val="20"/>
          <w:szCs w:val="20"/>
        </w:rPr>
        <w:t>eport features:</w:t>
      </w:r>
    </w:p>
    <w:p w14:paraId="507E9776" w14:textId="77777777" w:rsidR="00C92014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Accessing the report</w:t>
      </w:r>
    </w:p>
    <w:p w14:paraId="23855E50" w14:textId="77777777" w:rsidR="007A3F9F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Filtering the report</w:t>
      </w:r>
    </w:p>
    <w:p w14:paraId="540A5FF3" w14:textId="77777777" w:rsidR="00F20DE9" w:rsidRPr="007A3F9F" w:rsidRDefault="00F20DE9" w:rsidP="00F20DE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Creating and saving report views</w:t>
      </w:r>
    </w:p>
    <w:p w14:paraId="57E7EC8E" w14:textId="77777777" w:rsidR="007A5E6F" w:rsidRDefault="007A5E6F" w:rsidP="007A5E6F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Scheduling automated exports and emails</w:t>
      </w:r>
    </w:p>
    <w:p w14:paraId="4E7FF1BD" w14:textId="77777777" w:rsidR="007A3F9F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Exporting the data to a PDF, Excel, or CSV file</w:t>
      </w:r>
    </w:p>
    <w:p w14:paraId="373BF5E7" w14:textId="77777777" w:rsidR="007A3F9F" w:rsidRPr="007A3F9F" w:rsidRDefault="007A3F9F" w:rsidP="007A3F9F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14:paraId="12555E63" w14:textId="77777777" w:rsidR="007A3F9F" w:rsidRPr="007A3F9F" w:rsidRDefault="007A3F9F" w:rsidP="007A3F9F">
      <w:pPr>
        <w:spacing w:after="0"/>
        <w:rPr>
          <w:rFonts w:ascii="Verdana" w:hAnsi="Verdana"/>
          <w:sz w:val="20"/>
          <w:szCs w:val="20"/>
        </w:rPr>
      </w:pPr>
    </w:p>
    <w:p w14:paraId="7012A9AB" w14:textId="77777777" w:rsidR="007A3F9F" w:rsidRPr="007A3F9F" w:rsidRDefault="007A3F9F" w:rsidP="007A3F9F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If you have any additional questions regarding the Applicant Notices Report, please submit an HR/Pay Help Desk ticket under the “Applications Support” category.</w:t>
      </w:r>
    </w:p>
    <w:p w14:paraId="1703FDAF" w14:textId="77777777" w:rsidR="007A3F9F" w:rsidRPr="007A3F9F" w:rsidRDefault="007A3F9F" w:rsidP="007A3F9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D343" wp14:editId="728A839C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24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06B7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.05pt" to="88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27E018" w14:textId="77777777" w:rsidR="00C92014" w:rsidRDefault="00C92014" w:rsidP="00C92014">
      <w:pPr>
        <w:spacing w:after="0"/>
        <w:rPr>
          <w:rFonts w:ascii="Verdana" w:hAnsi="Verdana"/>
          <w:sz w:val="20"/>
          <w:szCs w:val="20"/>
        </w:rPr>
      </w:pPr>
    </w:p>
    <w:p w14:paraId="07CCB112" w14:textId="77777777" w:rsidR="007A3F9F" w:rsidRPr="007A3F9F" w:rsidRDefault="007A3F9F" w:rsidP="007A3F9F">
      <w:pPr>
        <w:spacing w:after="0"/>
        <w:rPr>
          <w:rFonts w:ascii="Verdana" w:hAnsi="Verdana"/>
          <w:b/>
          <w:sz w:val="24"/>
          <w:szCs w:val="24"/>
        </w:rPr>
      </w:pPr>
      <w:r w:rsidRPr="007A3F9F">
        <w:rPr>
          <w:rFonts w:ascii="Verdana" w:hAnsi="Verdana"/>
          <w:b/>
          <w:sz w:val="24"/>
          <w:szCs w:val="24"/>
        </w:rPr>
        <w:t>1. Accessing the Report</w:t>
      </w:r>
    </w:p>
    <w:p w14:paraId="52B1A36E" w14:textId="77777777" w:rsidR="007A3F9F" w:rsidRDefault="007A3F9F" w:rsidP="00C92014">
      <w:pPr>
        <w:spacing w:after="0"/>
        <w:rPr>
          <w:rFonts w:ascii="Verdana" w:hAnsi="Verdana"/>
          <w:sz w:val="20"/>
          <w:szCs w:val="20"/>
        </w:rPr>
      </w:pPr>
    </w:p>
    <w:p w14:paraId="03D78D07" w14:textId="77777777" w:rsidR="0073548C" w:rsidRDefault="00A40AF8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Applicant Notices Report is located within the </w:t>
      </w:r>
      <w:r w:rsidRPr="00B74C43">
        <w:rPr>
          <w:rFonts w:ascii="Verdana" w:hAnsi="Verdana"/>
          <w:b/>
          <w:sz w:val="20"/>
          <w:szCs w:val="20"/>
        </w:rPr>
        <w:t>standard reports section</w:t>
      </w:r>
      <w:r>
        <w:rPr>
          <w:rFonts w:ascii="Verdana" w:hAnsi="Verdana"/>
          <w:sz w:val="20"/>
          <w:szCs w:val="20"/>
        </w:rPr>
        <w:t xml:space="preserve"> of </w:t>
      </w:r>
      <w:r w:rsidR="0073548C">
        <w:rPr>
          <w:rFonts w:ascii="Verdana" w:hAnsi="Verdana"/>
          <w:sz w:val="20"/>
          <w:szCs w:val="20"/>
        </w:rPr>
        <w:t xml:space="preserve">NEOGOV Insight, under the applicant category. </w:t>
      </w:r>
    </w:p>
    <w:p w14:paraId="7F4A05C1" w14:textId="77777777" w:rsidR="0073548C" w:rsidRDefault="0073548C" w:rsidP="00C92014">
      <w:pPr>
        <w:spacing w:after="0"/>
        <w:rPr>
          <w:rFonts w:ascii="Verdana" w:hAnsi="Verdana"/>
          <w:sz w:val="20"/>
          <w:szCs w:val="20"/>
        </w:rPr>
      </w:pPr>
    </w:p>
    <w:p w14:paraId="55CBB080" w14:textId="77777777" w:rsidR="0073548C" w:rsidRDefault="0073548C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First, navigate to the standard reports section of NEOGOV Insight. </w:t>
      </w:r>
    </w:p>
    <w:p w14:paraId="023F1437" w14:textId="77777777" w:rsidR="0073548C" w:rsidRDefault="0073548C" w:rsidP="00C92014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Navigation: Insight &gt; Reports &gt; Standard</w:t>
      </w:r>
    </w:p>
    <w:p w14:paraId="48F7432B" w14:textId="77777777" w:rsidR="0073548C" w:rsidRDefault="0073548C" w:rsidP="00C92014">
      <w:pPr>
        <w:spacing w:after="0"/>
        <w:rPr>
          <w:rFonts w:ascii="Verdana" w:hAnsi="Verdana"/>
          <w:i/>
          <w:sz w:val="20"/>
          <w:szCs w:val="20"/>
        </w:rPr>
      </w:pPr>
    </w:p>
    <w:p w14:paraId="50D8A383" w14:textId="77777777" w:rsidR="007A3F9F" w:rsidRDefault="00A40AF8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3548C">
        <w:rPr>
          <w:rFonts w:ascii="Verdana" w:hAnsi="Verdana"/>
          <w:sz w:val="20"/>
          <w:szCs w:val="20"/>
        </w:rPr>
        <w:t xml:space="preserve">Within the standard reports section, there are three different ways to access the report: </w:t>
      </w:r>
    </w:p>
    <w:p w14:paraId="2205AFBC" w14:textId="77777777" w:rsidR="0073548C" w:rsidRP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Filter the “All Categories” dropdown to “Applicant”</w:t>
      </w:r>
    </w:p>
    <w:p w14:paraId="4F337C4A" w14:textId="77777777" w:rsidR="0073548C" w:rsidRP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Type “Applicant Notices” into the search box</w:t>
      </w:r>
    </w:p>
    <w:p w14:paraId="0533F72E" w14:textId="77777777" w:rsid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Look for “Applicant Notices” within the “Report Title” column</w:t>
      </w:r>
    </w:p>
    <w:p w14:paraId="359E6073" w14:textId="77777777" w:rsidR="009F6302" w:rsidRDefault="009F6302" w:rsidP="009F6302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14:paraId="17E6F339" w14:textId="071FDEDA" w:rsidR="00CC2522" w:rsidRDefault="009F6302" w:rsidP="009F63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 Figure 1 for more details.</w:t>
      </w:r>
    </w:p>
    <w:p w14:paraId="3AB6852D" w14:textId="75E5FEA6" w:rsidR="009F6302" w:rsidRDefault="00CC2522" w:rsidP="00CC25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B95CF6E" w14:textId="77777777" w:rsidR="009F6302" w:rsidRDefault="00A05743" w:rsidP="001D6FF8">
      <w:pPr>
        <w:spacing w:after="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46E7E272" wp14:editId="201B529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934075" cy="3170555"/>
            <wp:effectExtent l="19050" t="19050" r="28575" b="10795"/>
            <wp:wrapTight wrapText="bothSides">
              <wp:wrapPolygon edited="0">
                <wp:start x="-69" y="-130"/>
                <wp:lineTo x="-69" y="21544"/>
                <wp:lineTo x="21635" y="21544"/>
                <wp:lineTo x="21635" y="-130"/>
                <wp:lineTo x="-69" y="-130"/>
              </wp:wrapPolygon>
            </wp:wrapTight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icant_Notices_Screenshot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6" t="13674" r="12981"/>
                    <a:stretch/>
                  </pic:blipFill>
                  <pic:spPr bwMode="auto">
                    <a:xfrm>
                      <a:off x="0" y="0"/>
                      <a:ext cx="5934075" cy="3170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6302">
        <w:rPr>
          <w:rFonts w:ascii="Verdana" w:hAnsi="Verdana"/>
          <w:noProof/>
          <w:sz w:val="20"/>
          <w:szCs w:val="20"/>
        </w:rPr>
        <w:t>Figure 1</w:t>
      </w:r>
    </w:p>
    <w:p w14:paraId="2D437133" w14:textId="77777777" w:rsidR="009F6302" w:rsidRDefault="009F6302" w:rsidP="009F6302">
      <w:pPr>
        <w:spacing w:after="0"/>
        <w:jc w:val="center"/>
        <w:rPr>
          <w:rFonts w:ascii="Verdana" w:hAnsi="Verdana"/>
          <w:noProof/>
          <w:sz w:val="20"/>
          <w:szCs w:val="20"/>
        </w:rPr>
      </w:pPr>
    </w:p>
    <w:p w14:paraId="0F5A7AE3" w14:textId="77777777" w:rsidR="009F6302" w:rsidRDefault="009F6302" w:rsidP="009F6302">
      <w:pPr>
        <w:spacing w:after="0"/>
        <w:rPr>
          <w:rFonts w:ascii="Verdana" w:hAnsi="Verdana"/>
          <w:noProof/>
          <w:sz w:val="20"/>
          <w:szCs w:val="20"/>
        </w:rPr>
      </w:pPr>
    </w:p>
    <w:p w14:paraId="1D290346" w14:textId="77777777" w:rsidR="0073548C" w:rsidRPr="00085916" w:rsidRDefault="00085916" w:rsidP="0073548C">
      <w:pPr>
        <w:spacing w:after="0"/>
        <w:rPr>
          <w:rFonts w:ascii="Verdana" w:hAnsi="Verdana"/>
          <w:b/>
          <w:sz w:val="24"/>
          <w:szCs w:val="24"/>
        </w:rPr>
      </w:pPr>
      <w:r w:rsidRPr="00085916">
        <w:rPr>
          <w:rFonts w:ascii="Verdana" w:hAnsi="Verdana"/>
          <w:b/>
          <w:sz w:val="24"/>
          <w:szCs w:val="24"/>
        </w:rPr>
        <w:t>2. Filtering the Report</w:t>
      </w:r>
    </w:p>
    <w:p w14:paraId="496F5FBB" w14:textId="77777777" w:rsidR="0073548C" w:rsidRDefault="0073548C" w:rsidP="0073548C">
      <w:pPr>
        <w:spacing w:after="0"/>
        <w:rPr>
          <w:rFonts w:ascii="Verdana" w:hAnsi="Verdana"/>
          <w:sz w:val="20"/>
          <w:szCs w:val="20"/>
        </w:rPr>
      </w:pPr>
    </w:p>
    <w:p w14:paraId="340F3FD4" w14:textId="77777777" w:rsidR="001D6FF8" w:rsidRDefault="001D6FF8" w:rsidP="001D6FF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AAA12EC" wp14:editId="4D2D1F35">
            <wp:simplePos x="0" y="0"/>
            <wp:positionH relativeFrom="margin">
              <wp:posOffset>-19050</wp:posOffset>
            </wp:positionH>
            <wp:positionV relativeFrom="paragraph">
              <wp:posOffset>612140</wp:posOffset>
            </wp:positionV>
            <wp:extent cx="5934075" cy="2807335"/>
            <wp:effectExtent l="19050" t="19050" r="28575" b="12065"/>
            <wp:wrapTight wrapText="bothSides">
              <wp:wrapPolygon edited="0">
                <wp:start x="-69" y="-147"/>
                <wp:lineTo x="-69" y="21546"/>
                <wp:lineTo x="21635" y="21546"/>
                <wp:lineTo x="21635" y="-147"/>
                <wp:lineTo x="-69" y="-147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nt_Notices_Screenshot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07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43">
        <w:rPr>
          <w:rFonts w:ascii="Verdana" w:hAnsi="Verdana"/>
          <w:sz w:val="20"/>
          <w:szCs w:val="20"/>
        </w:rPr>
        <w:t xml:space="preserve">Once you have navigated to the Applicant Notices Report, you will see a Filters tab in the </w:t>
      </w:r>
      <w:r w:rsidR="00B74C43" w:rsidRPr="00B74C43">
        <w:rPr>
          <w:rFonts w:ascii="Verdana" w:hAnsi="Verdana"/>
          <w:b/>
          <w:sz w:val="20"/>
          <w:szCs w:val="20"/>
        </w:rPr>
        <w:t>upper right-hand corner</w:t>
      </w:r>
      <w:r w:rsidR="00B74C43">
        <w:rPr>
          <w:rFonts w:ascii="Verdana" w:hAnsi="Verdana"/>
          <w:sz w:val="20"/>
          <w:szCs w:val="20"/>
        </w:rPr>
        <w:t xml:space="preserve"> of the screen. You will need to click on the arrow to view all the filter options. See Figure 2.</w:t>
      </w:r>
    </w:p>
    <w:p w14:paraId="11342D97" w14:textId="36E96D34" w:rsidR="00B74C43" w:rsidRDefault="00B74C43" w:rsidP="001D6FF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2</w:t>
      </w:r>
    </w:p>
    <w:p w14:paraId="1EE383A1" w14:textId="193D6AE4" w:rsidR="00B74C43" w:rsidRDefault="00B74C43" w:rsidP="00B74C43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30F2BC2" w14:textId="3CECD60B" w:rsidR="00CC2522" w:rsidRDefault="00B74C43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As shown in Figure 2, users </w:t>
      </w:r>
      <w:r w:rsidR="00CC2522">
        <w:rPr>
          <w:rFonts w:ascii="Verdana" w:hAnsi="Verdana"/>
          <w:sz w:val="20"/>
          <w:szCs w:val="20"/>
        </w:rPr>
        <w:t>can</w:t>
      </w:r>
      <w:r>
        <w:rPr>
          <w:rFonts w:ascii="Verdana" w:hAnsi="Verdana"/>
          <w:sz w:val="20"/>
          <w:szCs w:val="20"/>
        </w:rPr>
        <w:t xml:space="preserve"> filter the Applicant Notices Report by </w:t>
      </w:r>
      <w:r w:rsidR="00CC2522">
        <w:rPr>
          <w:rFonts w:ascii="Verdana" w:hAnsi="Verdana"/>
          <w:sz w:val="20"/>
          <w:szCs w:val="20"/>
        </w:rPr>
        <w:t xml:space="preserve">categories including date range, notice type, departments, job spec, etc. Please note that once a user changes any of the listed filters, the data displayed will be </w:t>
      </w:r>
      <w:r w:rsidR="00461100">
        <w:rPr>
          <w:rFonts w:ascii="Verdana" w:hAnsi="Verdana"/>
          <w:sz w:val="20"/>
          <w:szCs w:val="20"/>
        </w:rPr>
        <w:t xml:space="preserve">immediately </w:t>
      </w:r>
      <w:r w:rsidR="00CC2522">
        <w:rPr>
          <w:rFonts w:ascii="Verdana" w:hAnsi="Verdana"/>
          <w:sz w:val="20"/>
          <w:szCs w:val="20"/>
        </w:rPr>
        <w:t>updated to reflect the filter changes. There is no limit on how many filtered views a user can apply at a time.</w:t>
      </w:r>
    </w:p>
    <w:p w14:paraId="61E6882A" w14:textId="64029C88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533BEF1D" w14:textId="3D50FFFB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67790EDB" w14:textId="724834E0" w:rsidR="00CC2522" w:rsidRDefault="00CC2522" w:rsidP="00B74C43">
      <w:pPr>
        <w:spacing w:after="0"/>
        <w:rPr>
          <w:rFonts w:ascii="Verdana" w:hAnsi="Verdana"/>
          <w:b/>
          <w:sz w:val="24"/>
          <w:szCs w:val="24"/>
        </w:rPr>
      </w:pPr>
      <w:r w:rsidRPr="00CC2522">
        <w:rPr>
          <w:rFonts w:ascii="Verdana" w:hAnsi="Verdana"/>
          <w:b/>
          <w:sz w:val="24"/>
          <w:szCs w:val="24"/>
        </w:rPr>
        <w:t xml:space="preserve">3. </w:t>
      </w:r>
      <w:r w:rsidR="00F20DE9">
        <w:rPr>
          <w:rFonts w:ascii="Verdana" w:hAnsi="Verdana"/>
          <w:b/>
          <w:sz w:val="24"/>
          <w:szCs w:val="24"/>
        </w:rPr>
        <w:t xml:space="preserve">Creating and </w:t>
      </w:r>
      <w:r w:rsidR="00461100">
        <w:rPr>
          <w:rFonts w:ascii="Verdana" w:hAnsi="Verdana"/>
          <w:b/>
          <w:sz w:val="24"/>
          <w:szCs w:val="24"/>
        </w:rPr>
        <w:t>S</w:t>
      </w:r>
      <w:r w:rsidR="00F20DE9">
        <w:rPr>
          <w:rFonts w:ascii="Verdana" w:hAnsi="Verdana"/>
          <w:b/>
          <w:sz w:val="24"/>
          <w:szCs w:val="24"/>
        </w:rPr>
        <w:t>aving Report Views</w:t>
      </w:r>
    </w:p>
    <w:p w14:paraId="0F3DC368" w14:textId="4F7E1F5B" w:rsidR="00F20DE9" w:rsidRDefault="00F20DE9" w:rsidP="00B74C43">
      <w:pPr>
        <w:spacing w:after="0"/>
        <w:rPr>
          <w:rFonts w:ascii="Verdana" w:hAnsi="Verdana"/>
          <w:b/>
          <w:sz w:val="24"/>
          <w:szCs w:val="24"/>
        </w:rPr>
      </w:pPr>
    </w:p>
    <w:p w14:paraId="0F908C49" w14:textId="01B39BEE" w:rsidR="00FC5EE0" w:rsidRDefault="00FC5EE0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addition to the applicable filters, users will also be able to create and save new reporting views on the Applicant Notices Report. To create a new view, users will start by clicking the “Default” button, located below the report title, which is also highlighted in Figure 3.</w:t>
      </w:r>
    </w:p>
    <w:p w14:paraId="13BE44B9" w14:textId="055F22DD" w:rsidR="00FC5EE0" w:rsidRDefault="00FC5EE0" w:rsidP="00B74C43">
      <w:pPr>
        <w:spacing w:after="0"/>
        <w:rPr>
          <w:rFonts w:ascii="Verdana" w:hAnsi="Verdana"/>
          <w:sz w:val="20"/>
          <w:szCs w:val="20"/>
        </w:rPr>
      </w:pPr>
    </w:p>
    <w:p w14:paraId="2DC91E80" w14:textId="2E948FE8" w:rsidR="00FC5EE0" w:rsidRPr="00FC5EE0" w:rsidRDefault="00FC5EE0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340FA85" wp14:editId="3360C39C">
            <wp:extent cx="5943600" cy="2417445"/>
            <wp:effectExtent l="19050" t="19050" r="19050" b="20955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icant_Notices_Screenshot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45E66C" w14:textId="55061F0E" w:rsidR="00CC2522" w:rsidRDefault="00FC5EE0" w:rsidP="00FC5EE0">
      <w:pPr>
        <w:spacing w:after="0"/>
        <w:jc w:val="center"/>
        <w:rPr>
          <w:rFonts w:ascii="Verdana" w:hAnsi="Verdana"/>
          <w:sz w:val="20"/>
          <w:szCs w:val="20"/>
        </w:rPr>
      </w:pPr>
      <w:r w:rsidRPr="00FC5EE0">
        <w:rPr>
          <w:rFonts w:ascii="Verdana" w:hAnsi="Verdana"/>
          <w:sz w:val="20"/>
          <w:szCs w:val="20"/>
        </w:rPr>
        <w:t>Figure 3</w:t>
      </w:r>
    </w:p>
    <w:p w14:paraId="5636E8BB" w14:textId="7049D5D3" w:rsidR="00FC5EE0" w:rsidRDefault="00FC5EE0" w:rsidP="00FC5EE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CAD3A8E" w14:textId="76E796FE" w:rsidR="00561CC7" w:rsidRDefault="00FC5EE0" w:rsidP="00FC5E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selecting the “Default” button, users will have the option to either create a new view or continue using the </w:t>
      </w:r>
      <w:r w:rsidR="005B2939">
        <w:rPr>
          <w:rFonts w:ascii="Verdana" w:hAnsi="Verdana"/>
          <w:sz w:val="20"/>
          <w:szCs w:val="20"/>
        </w:rPr>
        <w:t xml:space="preserve">view selected as the Default View, as shown in Figure 4. </w:t>
      </w:r>
    </w:p>
    <w:p w14:paraId="54467964" w14:textId="1676D676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191CD75F" w14:textId="680E2DD4" w:rsidR="00561CC7" w:rsidRDefault="001D6FF8" w:rsidP="00FC5E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0EB734B" wp14:editId="53E152DA">
            <wp:simplePos x="0" y="0"/>
            <wp:positionH relativeFrom="margin">
              <wp:posOffset>742950</wp:posOffset>
            </wp:positionH>
            <wp:positionV relativeFrom="page">
              <wp:posOffset>6372225</wp:posOffset>
            </wp:positionV>
            <wp:extent cx="4324350" cy="2466975"/>
            <wp:effectExtent l="19050" t="19050" r="19050" b="28575"/>
            <wp:wrapTight wrapText="bothSides">
              <wp:wrapPolygon edited="0">
                <wp:start x="-95" y="-167"/>
                <wp:lineTo x="-95" y="21683"/>
                <wp:lineTo x="21600" y="21683"/>
                <wp:lineTo x="21600" y="-167"/>
                <wp:lineTo x="-95" y="-167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icant_Notices_Screenshot_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54"/>
                    <a:stretch/>
                  </pic:blipFill>
                  <pic:spPr bwMode="auto">
                    <a:xfrm>
                      <a:off x="0" y="0"/>
                      <a:ext cx="4324350" cy="2466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5657" w14:textId="77777777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4676BCE6" w14:textId="7C55191F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42D08C6C" w14:textId="77777777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24904123" w14:textId="3BAC3A6D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52431440" w14:textId="77777777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52C1BE9E" w14:textId="34B0CA47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7D4CD417" w14:textId="528F8121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6659B663" w14:textId="1AB6E748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75D37D89" w14:textId="4D83DC71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56ACB5A3" w14:textId="3AC11F35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1DD70ACC" w14:textId="5DC60614" w:rsidR="00561CC7" w:rsidRDefault="00561CC7" w:rsidP="00FC5EE0">
      <w:pPr>
        <w:spacing w:after="0"/>
        <w:rPr>
          <w:rFonts w:ascii="Verdana" w:hAnsi="Verdana"/>
          <w:sz w:val="20"/>
          <w:szCs w:val="20"/>
        </w:rPr>
      </w:pPr>
    </w:p>
    <w:p w14:paraId="2A304739" w14:textId="77777777" w:rsidR="00561CC7" w:rsidRDefault="00561CC7" w:rsidP="00561CC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75A95D9" w14:textId="77777777" w:rsidR="00561CC7" w:rsidRDefault="00561CC7" w:rsidP="00561CC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5F0D769" w14:textId="77777777" w:rsidR="001D6FF8" w:rsidRDefault="001D6FF8" w:rsidP="001D6FF8">
      <w:pPr>
        <w:spacing w:after="0"/>
        <w:rPr>
          <w:rFonts w:ascii="Verdana" w:hAnsi="Verdana"/>
          <w:sz w:val="20"/>
          <w:szCs w:val="20"/>
        </w:rPr>
      </w:pPr>
    </w:p>
    <w:p w14:paraId="2741C480" w14:textId="59D3304D" w:rsidR="00561CC7" w:rsidRDefault="00561CC7" w:rsidP="001D6FF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4</w:t>
      </w:r>
    </w:p>
    <w:p w14:paraId="5BBE3165" w14:textId="1CE7ACAD" w:rsidR="00FC5EE0" w:rsidRDefault="005B2939" w:rsidP="00FC5E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If the user opts to create a new view, they will be prompted to name their view. Within the “Grid View Editor,” users have the option to make the </w:t>
      </w:r>
      <w:r w:rsidR="00461100">
        <w:rPr>
          <w:rFonts w:ascii="Verdana" w:hAnsi="Verdana"/>
          <w:sz w:val="20"/>
          <w:szCs w:val="20"/>
        </w:rPr>
        <w:t xml:space="preserve">new </w:t>
      </w:r>
      <w:r>
        <w:rPr>
          <w:rFonts w:ascii="Verdana" w:hAnsi="Verdana"/>
          <w:sz w:val="20"/>
          <w:szCs w:val="20"/>
        </w:rPr>
        <w:t>view their default</w:t>
      </w:r>
      <w:r w:rsidR="00461100">
        <w:rPr>
          <w:rFonts w:ascii="Verdana" w:hAnsi="Verdana"/>
          <w:sz w:val="20"/>
          <w:szCs w:val="20"/>
        </w:rPr>
        <w:t xml:space="preserve"> view</w:t>
      </w:r>
      <w:r>
        <w:rPr>
          <w:rFonts w:ascii="Verdana" w:hAnsi="Verdana"/>
          <w:sz w:val="20"/>
          <w:szCs w:val="20"/>
        </w:rPr>
        <w:t xml:space="preserve"> or make the view public. Once the user is done creating the report view, they must hit the “Save” button in the upper right-hand corner of the screen. See Figure 5.</w:t>
      </w:r>
    </w:p>
    <w:p w14:paraId="2C24B8E7" w14:textId="7E07CE1E" w:rsidR="005B2939" w:rsidRDefault="005B2939" w:rsidP="00FC5EE0">
      <w:pPr>
        <w:spacing w:after="0"/>
        <w:rPr>
          <w:rFonts w:ascii="Verdana" w:hAnsi="Verdana"/>
          <w:sz w:val="20"/>
          <w:szCs w:val="20"/>
        </w:rPr>
      </w:pPr>
    </w:p>
    <w:p w14:paraId="22E1A8C4" w14:textId="0C7B4E36" w:rsidR="005B2939" w:rsidRDefault="001D6FF8" w:rsidP="00FC5EE0">
      <w:pPr>
        <w:spacing w:after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5D41EEE" wp14:editId="11E8F90A">
            <wp:simplePos x="0" y="0"/>
            <wp:positionH relativeFrom="margin">
              <wp:posOffset>838200</wp:posOffset>
            </wp:positionH>
            <wp:positionV relativeFrom="paragraph">
              <wp:posOffset>7620</wp:posOffset>
            </wp:positionV>
            <wp:extent cx="4267200" cy="3486150"/>
            <wp:effectExtent l="19050" t="19050" r="19050" b="19050"/>
            <wp:wrapTight wrapText="bothSides">
              <wp:wrapPolygon edited="0">
                <wp:start x="-96" y="-118"/>
                <wp:lineTo x="-96" y="21600"/>
                <wp:lineTo x="21600" y="21600"/>
                <wp:lineTo x="21600" y="-118"/>
                <wp:lineTo x="-96" y="-118"/>
              </wp:wrapPolygon>
            </wp:wrapTight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8" b="54398"/>
                    <a:stretch/>
                  </pic:blipFill>
                  <pic:spPr bwMode="auto">
                    <a:xfrm>
                      <a:off x="0" y="0"/>
                      <a:ext cx="4267200" cy="3486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B8785" w14:textId="68C61028" w:rsidR="005B2939" w:rsidRDefault="005B2939" w:rsidP="00FC5EE0">
      <w:pPr>
        <w:spacing w:after="0"/>
        <w:rPr>
          <w:rFonts w:ascii="Verdana" w:hAnsi="Verdana"/>
          <w:sz w:val="20"/>
          <w:szCs w:val="20"/>
        </w:rPr>
      </w:pPr>
    </w:p>
    <w:p w14:paraId="2887FDE8" w14:textId="4CBC87AE" w:rsidR="00FC5EE0" w:rsidRPr="00FC5EE0" w:rsidRDefault="00FC5EE0" w:rsidP="00FC5EE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A52E428" w14:textId="452155E2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2AE89725" w14:textId="3E8F4F15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3993A1B9" w14:textId="0E440AFF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4D4DF198" w14:textId="5B852FD3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5013A3F2" w14:textId="6314F5E4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40BE110C" w14:textId="24CC52B9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70E4B371" w14:textId="42177905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6C1450CB" w14:textId="014761B7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74946533" w14:textId="107915B2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72E6E655" w14:textId="4418EA02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0C73CEB1" w14:textId="11C7A36B" w:rsidR="005B2939" w:rsidRDefault="005B2939" w:rsidP="00B74C43">
      <w:pPr>
        <w:spacing w:after="0"/>
        <w:rPr>
          <w:rFonts w:ascii="Verdana" w:hAnsi="Verdana"/>
          <w:sz w:val="20"/>
          <w:szCs w:val="20"/>
        </w:rPr>
      </w:pPr>
    </w:p>
    <w:p w14:paraId="52BE93BD" w14:textId="6D2C0FF6" w:rsidR="005B2939" w:rsidRDefault="005B2939" w:rsidP="005B2939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CCDF0CC" w14:textId="52A6B3D0" w:rsidR="005B2939" w:rsidRDefault="005B2939" w:rsidP="005B2939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FFD8E1B" w14:textId="263CCB53" w:rsidR="005B2939" w:rsidRDefault="005B2939" w:rsidP="005B2939">
      <w:pPr>
        <w:spacing w:after="0"/>
        <w:jc w:val="center"/>
        <w:rPr>
          <w:rFonts w:ascii="Verdana" w:hAnsi="Verdana"/>
          <w:noProof/>
          <w:sz w:val="20"/>
          <w:szCs w:val="20"/>
        </w:rPr>
      </w:pPr>
    </w:p>
    <w:p w14:paraId="76ABB4AD" w14:textId="22425E40" w:rsidR="005B2939" w:rsidRDefault="005B2939" w:rsidP="005B2939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F7D86B9" w14:textId="4E4E7A67" w:rsidR="005B2939" w:rsidRDefault="005B2939" w:rsidP="005B2939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5772194" w14:textId="743AF40C" w:rsidR="00B74C43" w:rsidRDefault="00B74C43" w:rsidP="0073548C">
      <w:pPr>
        <w:spacing w:after="0"/>
        <w:rPr>
          <w:rFonts w:ascii="Verdana" w:hAnsi="Verdana"/>
          <w:sz w:val="20"/>
          <w:szCs w:val="20"/>
        </w:rPr>
      </w:pPr>
    </w:p>
    <w:p w14:paraId="4813470D" w14:textId="4D8BF554" w:rsidR="00561CC7" w:rsidRDefault="00561CC7" w:rsidP="00561CC7">
      <w:pPr>
        <w:spacing w:after="0"/>
        <w:rPr>
          <w:rFonts w:ascii="Verdana" w:hAnsi="Verdana"/>
          <w:sz w:val="20"/>
          <w:szCs w:val="20"/>
        </w:rPr>
      </w:pPr>
    </w:p>
    <w:p w14:paraId="58E24315" w14:textId="45FBF432" w:rsidR="00561CC7" w:rsidRDefault="00561CC7" w:rsidP="001D6FF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5</w:t>
      </w:r>
    </w:p>
    <w:p w14:paraId="6DD3FBC7" w14:textId="786EE46C" w:rsidR="00561CC7" w:rsidRDefault="00561CC7" w:rsidP="00561CC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13DE910" w14:textId="12BA6ACC" w:rsidR="00561CC7" w:rsidRDefault="00561CC7" w:rsidP="00561CC7">
      <w:pPr>
        <w:spacing w:after="0"/>
        <w:rPr>
          <w:rFonts w:ascii="Verdana" w:hAnsi="Verdana"/>
          <w:sz w:val="20"/>
          <w:szCs w:val="20"/>
        </w:rPr>
      </w:pPr>
    </w:p>
    <w:p w14:paraId="149FE0B0" w14:textId="2D7FA77B" w:rsidR="007A5E6F" w:rsidRDefault="007A5E6F" w:rsidP="00561CC7">
      <w:pPr>
        <w:spacing w:after="0"/>
        <w:rPr>
          <w:rFonts w:ascii="Verdana" w:hAnsi="Verdana"/>
          <w:b/>
          <w:sz w:val="24"/>
          <w:szCs w:val="24"/>
        </w:rPr>
      </w:pPr>
      <w:r w:rsidRPr="007A5E6F">
        <w:rPr>
          <w:rFonts w:ascii="Verdana" w:hAnsi="Verdana"/>
          <w:b/>
          <w:sz w:val="24"/>
          <w:szCs w:val="24"/>
        </w:rPr>
        <w:t>4. Scheduling Automated Reports and Emails</w:t>
      </w:r>
    </w:p>
    <w:p w14:paraId="1548F2DA" w14:textId="2A994E84" w:rsidR="007A5E6F" w:rsidRDefault="007A5E6F" w:rsidP="00561CC7">
      <w:pPr>
        <w:spacing w:after="0"/>
        <w:rPr>
          <w:rFonts w:ascii="Verdana" w:hAnsi="Verdana"/>
          <w:b/>
          <w:sz w:val="24"/>
          <w:szCs w:val="24"/>
        </w:rPr>
      </w:pPr>
    </w:p>
    <w:p w14:paraId="5665F611" w14:textId="75C80B90" w:rsidR="007A5E6F" w:rsidRDefault="00377EB1" w:rsidP="00561CC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Users can also schedule exports of </w:t>
      </w:r>
      <w:r w:rsidR="00D63FA3">
        <w:rPr>
          <w:rFonts w:ascii="Verdana" w:hAnsi="Verdana"/>
          <w:sz w:val="20"/>
          <w:szCs w:val="20"/>
        </w:rPr>
        <w:t xml:space="preserve">their reports through the “Schedule Export” option located in the “Grid View Editor.”  </w:t>
      </w:r>
    </w:p>
    <w:p w14:paraId="16709910" w14:textId="78ACB720" w:rsidR="00E81489" w:rsidRDefault="00E81489" w:rsidP="00561CC7">
      <w:pPr>
        <w:spacing w:after="0"/>
        <w:rPr>
          <w:rFonts w:ascii="Verdana" w:hAnsi="Verdana"/>
          <w:sz w:val="20"/>
          <w:szCs w:val="20"/>
        </w:rPr>
      </w:pPr>
    </w:p>
    <w:p w14:paraId="14FA4F4C" w14:textId="31AE3637" w:rsidR="00E81489" w:rsidRDefault="00E81489" w:rsidP="00561CC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start scheduling automated reports, the user must select “On” in the “Schedule Export” option. </w:t>
      </w:r>
    </w:p>
    <w:p w14:paraId="0362A856" w14:textId="7AE0A23C" w:rsidR="00E81489" w:rsidRDefault="00E81489" w:rsidP="00561CC7">
      <w:pPr>
        <w:spacing w:after="0"/>
        <w:rPr>
          <w:rFonts w:ascii="Verdana" w:hAnsi="Verdana"/>
          <w:sz w:val="20"/>
          <w:szCs w:val="20"/>
        </w:rPr>
      </w:pPr>
    </w:p>
    <w:p w14:paraId="79C460AB" w14:textId="2FB319E6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“On” is selected, users will have the ability to specify the export type (CSV, Excel, or PDF), as well as the export frequency and additional criteria for repetition. </w:t>
      </w:r>
      <w:r w:rsidR="00F71A5E">
        <w:rPr>
          <w:rFonts w:ascii="Verdana" w:hAnsi="Verdana"/>
          <w:sz w:val="20"/>
          <w:szCs w:val="20"/>
        </w:rPr>
        <w:t xml:space="preserve">The user must then save the selected settings by clicking the “Save” button in the upper right-hand corner of the screen. </w:t>
      </w:r>
      <w:r>
        <w:rPr>
          <w:rFonts w:ascii="Verdana" w:hAnsi="Verdana"/>
          <w:sz w:val="20"/>
          <w:szCs w:val="20"/>
        </w:rPr>
        <w:t xml:space="preserve">Please note that filling out the export information will send the report to the </w:t>
      </w:r>
      <w:r w:rsidR="00F71A5E">
        <w:rPr>
          <w:rFonts w:ascii="Verdana" w:hAnsi="Verdana"/>
          <w:b/>
          <w:sz w:val="20"/>
          <w:szCs w:val="20"/>
        </w:rPr>
        <w:t xml:space="preserve">NEOGOV </w:t>
      </w:r>
      <w:r w:rsidRPr="001D6FF8">
        <w:rPr>
          <w:rFonts w:ascii="Verdana" w:hAnsi="Verdana"/>
          <w:b/>
          <w:sz w:val="20"/>
          <w:szCs w:val="20"/>
        </w:rPr>
        <w:t>account of the user accessing the report</w:t>
      </w:r>
      <w:r w:rsidR="00580D85">
        <w:rPr>
          <w:rFonts w:ascii="Verdana" w:hAnsi="Verdana"/>
          <w:bCs/>
          <w:sz w:val="20"/>
          <w:szCs w:val="20"/>
        </w:rPr>
        <w:t xml:space="preserve"> once the report is finished</w:t>
      </w:r>
      <w:r>
        <w:rPr>
          <w:rFonts w:ascii="Verdana" w:hAnsi="Verdana"/>
          <w:sz w:val="20"/>
          <w:szCs w:val="20"/>
        </w:rPr>
        <w:t>.</w:t>
      </w:r>
    </w:p>
    <w:p w14:paraId="67EE38F9" w14:textId="77777777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6BCE471" w14:textId="7DBD72E8" w:rsidR="00E81489" w:rsidRDefault="001D6FF8" w:rsidP="00561CC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See Figure 6 for more details. </w:t>
      </w:r>
    </w:p>
    <w:p w14:paraId="0AB60418" w14:textId="03C7D4F4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24414C04" w14:textId="4A03D4BE" w:rsidR="001D6FF8" w:rsidRPr="00377EB1" w:rsidRDefault="001D6FF8" w:rsidP="00561CC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 wp14:anchorId="10055ECF" wp14:editId="5B7C75F2">
            <wp:simplePos x="0" y="0"/>
            <wp:positionH relativeFrom="column">
              <wp:posOffset>809625</wp:posOffset>
            </wp:positionH>
            <wp:positionV relativeFrom="page">
              <wp:posOffset>1019175</wp:posOffset>
            </wp:positionV>
            <wp:extent cx="3971925" cy="7574280"/>
            <wp:effectExtent l="19050" t="19050" r="28575" b="26670"/>
            <wp:wrapTight wrapText="bothSides">
              <wp:wrapPolygon edited="0">
                <wp:start x="-104" y="-54"/>
                <wp:lineTo x="-104" y="21622"/>
                <wp:lineTo x="21652" y="21622"/>
                <wp:lineTo x="21652" y="-54"/>
                <wp:lineTo x="-104" y="-54"/>
              </wp:wrapPolygon>
            </wp:wrapTight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licant_Notices_Screenshot_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7574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8A8F" w14:textId="50C5A3C6" w:rsidR="007A5E6F" w:rsidRDefault="007A5E6F" w:rsidP="00561CC7">
      <w:pPr>
        <w:spacing w:after="0"/>
        <w:rPr>
          <w:rFonts w:ascii="Verdana" w:hAnsi="Verdana"/>
          <w:sz w:val="20"/>
          <w:szCs w:val="20"/>
        </w:rPr>
      </w:pPr>
    </w:p>
    <w:p w14:paraId="4928BB1F" w14:textId="3A9F6616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01C1AF5" w14:textId="2142EEFD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FD72C6A" w14:textId="1CCFA372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64BE0415" w14:textId="68AF9841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3370F4C5" w14:textId="0F6AE669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3161081" w14:textId="5083EDD8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70484E28" w14:textId="20EB5AC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0007577F" w14:textId="34B461A1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071223B4" w14:textId="5DF052B5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67A1CAEF" w14:textId="44F32337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3E9AE081" w14:textId="56A38170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9A997F4" w14:textId="5A37458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574313B" w14:textId="25915357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336FF34" w14:textId="7FE95C7B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368DDEC8" w14:textId="7BA8817C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0A7C624B" w14:textId="60D38E9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2F132628" w14:textId="0CAB8F72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2CAAC3C2" w14:textId="2E24BDEC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296D569" w14:textId="7F85EC57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4FC8C595" w14:textId="6450C842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0A1F71BC" w14:textId="735AE008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00518F97" w14:textId="53FE50EC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E7348FF" w14:textId="07C45002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13E0963" w14:textId="13FAD856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94A05A7" w14:textId="47C7AA2A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1D7E692" w14:textId="62B55CA8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62B08F44" w14:textId="2A7515AC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68CD2586" w14:textId="21256EC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3418A89B" w14:textId="31091EFF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45F6EA90" w14:textId="2C916C8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61FE600C" w14:textId="76B78BBD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7A78DAA0" w14:textId="09682DD4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7CB2E1AC" w14:textId="75888482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1506757" w14:textId="54992EAD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3A073EC" w14:textId="0D8BECB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4C05FDDA" w14:textId="1CE88351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F027C37" w14:textId="3D640FE4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42C2635D" w14:textId="366AAFD7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35E8A8C4" w14:textId="399F42FE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2DD9D14F" w14:textId="183F7EAC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6EB3E16" w14:textId="19B9B546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046C0BC2" w14:textId="400BD656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212A7850" w14:textId="75564B15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50E35795" w14:textId="3CA3C2F9" w:rsidR="001D6FF8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717BAE1C" w14:textId="59D7FCFC" w:rsidR="001D6FF8" w:rsidRDefault="001D6FF8" w:rsidP="001D6FF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6</w:t>
      </w:r>
    </w:p>
    <w:p w14:paraId="4E11439C" w14:textId="075B9F60" w:rsidR="001D6FF8" w:rsidRDefault="001D6FF8" w:rsidP="001D6FF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0FDE856" w14:textId="2EFF27B3" w:rsidR="001D6FF8" w:rsidRDefault="003A37E1" w:rsidP="003A37E1">
      <w:pPr>
        <w:spacing w:after="0"/>
        <w:rPr>
          <w:rFonts w:ascii="Verdana" w:hAnsi="Verdana"/>
          <w:b/>
          <w:sz w:val="24"/>
          <w:szCs w:val="24"/>
        </w:rPr>
      </w:pPr>
      <w:r w:rsidRPr="003A37E1">
        <w:rPr>
          <w:rFonts w:ascii="Verdana" w:hAnsi="Verdana"/>
          <w:b/>
          <w:sz w:val="24"/>
          <w:szCs w:val="24"/>
        </w:rPr>
        <w:lastRenderedPageBreak/>
        <w:t>5. Exporting the Data</w:t>
      </w:r>
    </w:p>
    <w:p w14:paraId="0DA2B88D" w14:textId="04F5491A" w:rsidR="001578FE" w:rsidRDefault="001578FE" w:rsidP="003A37E1">
      <w:pPr>
        <w:spacing w:after="0"/>
        <w:rPr>
          <w:rFonts w:ascii="Verdana" w:hAnsi="Verdana"/>
          <w:b/>
          <w:sz w:val="24"/>
          <w:szCs w:val="24"/>
        </w:rPr>
      </w:pPr>
    </w:p>
    <w:p w14:paraId="5DAD33AA" w14:textId="4190543C" w:rsidR="008B1BA2" w:rsidRDefault="008B1BA2" w:rsidP="008B1BA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2FDD4C2" wp14:editId="154EF66E">
            <wp:simplePos x="0" y="0"/>
            <wp:positionH relativeFrom="column">
              <wp:posOffset>19050</wp:posOffset>
            </wp:positionH>
            <wp:positionV relativeFrom="paragraph">
              <wp:posOffset>631190</wp:posOffset>
            </wp:positionV>
            <wp:extent cx="5943600" cy="1228725"/>
            <wp:effectExtent l="19050" t="19050" r="19050" b="28575"/>
            <wp:wrapTight wrapText="bothSides">
              <wp:wrapPolygon edited="0">
                <wp:start x="-69" y="-335"/>
                <wp:lineTo x="-69" y="21767"/>
                <wp:lineTo x="21600" y="21767"/>
                <wp:lineTo x="21600" y="-335"/>
                <wp:lineTo x="-69" y="-335"/>
              </wp:wrapPolygon>
            </wp:wrapTight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icant_Notices_Screenshot_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533">
        <w:rPr>
          <w:rFonts w:ascii="Verdana" w:hAnsi="Verdana"/>
          <w:bCs/>
          <w:sz w:val="20"/>
          <w:szCs w:val="20"/>
        </w:rPr>
        <w:t xml:space="preserve">After the user </w:t>
      </w:r>
      <w:r w:rsidR="004D138A">
        <w:rPr>
          <w:rFonts w:ascii="Verdana" w:hAnsi="Verdana"/>
          <w:bCs/>
          <w:sz w:val="20"/>
          <w:szCs w:val="20"/>
        </w:rPr>
        <w:t xml:space="preserve">schedules automated reports and emails (see </w:t>
      </w:r>
      <w:r w:rsidR="004D138A" w:rsidRPr="00BE5C74">
        <w:rPr>
          <w:rFonts w:ascii="Verdana" w:hAnsi="Verdana"/>
          <w:bCs/>
          <w:i/>
          <w:iCs/>
          <w:sz w:val="20"/>
          <w:szCs w:val="20"/>
        </w:rPr>
        <w:t>4. Scheduling Automated Reports and Emails</w:t>
      </w:r>
      <w:r w:rsidR="00BE5C74">
        <w:rPr>
          <w:rFonts w:ascii="Verdana" w:hAnsi="Verdana"/>
          <w:bCs/>
          <w:sz w:val="20"/>
          <w:szCs w:val="20"/>
        </w:rPr>
        <w:t xml:space="preserve"> for further instruction</w:t>
      </w:r>
      <w:r w:rsidR="004D138A">
        <w:rPr>
          <w:rFonts w:ascii="Verdana" w:hAnsi="Verdana"/>
          <w:bCs/>
          <w:sz w:val="20"/>
          <w:szCs w:val="20"/>
        </w:rPr>
        <w:t xml:space="preserve">), the user will receive an email with the link to the scheduled report, as shown in Figure 7. </w:t>
      </w:r>
    </w:p>
    <w:p w14:paraId="596A118D" w14:textId="115083C6" w:rsidR="003A37E1" w:rsidRDefault="00EF2949" w:rsidP="008B1BA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7</w:t>
      </w:r>
    </w:p>
    <w:p w14:paraId="58DC040B" w14:textId="0B93EDEB" w:rsidR="008B1BA2" w:rsidRDefault="008B1BA2" w:rsidP="008B1BA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51B14A1" w14:textId="1E6D1105" w:rsidR="008B1BA2" w:rsidRDefault="008B1BA2" w:rsidP="008B1BA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Additionally, the user can access this report in NEOGOV by navigating to the “My Exports” tab under the </w:t>
      </w:r>
      <w:r w:rsidR="004E0BEF">
        <w:rPr>
          <w:rFonts w:ascii="Verdana" w:hAnsi="Verdana"/>
          <w:bCs/>
          <w:sz w:val="20"/>
          <w:szCs w:val="20"/>
        </w:rPr>
        <w:t>“Standard Reports” section.</w:t>
      </w:r>
    </w:p>
    <w:p w14:paraId="5932B07A" w14:textId="1F01107A" w:rsidR="004E0BEF" w:rsidRDefault="004E0BEF" w:rsidP="008B1BA2">
      <w:pPr>
        <w:spacing w:after="0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4E0BEF">
        <w:rPr>
          <w:rFonts w:ascii="Verdana" w:hAnsi="Verdana"/>
          <w:bCs/>
          <w:i/>
          <w:iCs/>
          <w:sz w:val="20"/>
          <w:szCs w:val="20"/>
        </w:rPr>
        <w:t>Navigation: Insight &gt; Reports &gt; Standard &gt; My Exports</w:t>
      </w:r>
    </w:p>
    <w:p w14:paraId="06E1D47E" w14:textId="20A193C8" w:rsidR="004E0BEF" w:rsidRDefault="004E0BEF" w:rsidP="008B1BA2">
      <w:pPr>
        <w:spacing w:after="0"/>
        <w:rPr>
          <w:rFonts w:ascii="Verdana" w:hAnsi="Verdana"/>
          <w:bCs/>
          <w:i/>
          <w:iCs/>
          <w:sz w:val="20"/>
          <w:szCs w:val="20"/>
        </w:rPr>
      </w:pPr>
    </w:p>
    <w:p w14:paraId="71AF275C" w14:textId="6E7361AF" w:rsidR="004E0BEF" w:rsidRPr="004E0BEF" w:rsidRDefault="004E0BEF" w:rsidP="008B1BA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See Figure 8 for more details.</w:t>
      </w:r>
    </w:p>
    <w:p w14:paraId="00462064" w14:textId="1D554E15" w:rsidR="00EF2949" w:rsidRDefault="00EF2949" w:rsidP="003A37E1">
      <w:pPr>
        <w:spacing w:after="0"/>
        <w:rPr>
          <w:rFonts w:ascii="Verdana" w:hAnsi="Verdana"/>
          <w:sz w:val="20"/>
          <w:szCs w:val="20"/>
        </w:rPr>
      </w:pPr>
    </w:p>
    <w:p w14:paraId="6CA1467B" w14:textId="7FACF57C" w:rsidR="00EF2949" w:rsidRDefault="00AD2947" w:rsidP="003A37E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9528C83" wp14:editId="3F6F2505">
            <wp:extent cx="5943600" cy="1764665"/>
            <wp:effectExtent l="19050" t="19050" r="19050" b="2603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icant_Notices_Screenshot_9.p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001" cy="1767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56960" w14:textId="5B776D7C" w:rsidR="00EF2949" w:rsidRDefault="00EF2949" w:rsidP="00EF2949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8</w:t>
      </w:r>
    </w:p>
    <w:p w14:paraId="0FB01214" w14:textId="5BE77570" w:rsidR="004E0BEF" w:rsidRDefault="004E0BEF" w:rsidP="00EF2949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A2963D" w14:textId="0300C61D" w:rsidR="004E0BEF" w:rsidRDefault="00AD2947" w:rsidP="004E0BE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Once the user has navigated to the “My Exports” tab, a list of recent exports and scheduled reports will appear. These reports are displayed by name, file type, view name, and date completed. To export any report into a separate file, click on the “Download” button listed under “Actions,” see Figure 9.</w:t>
      </w:r>
    </w:p>
    <w:p w14:paraId="4FBCE661" w14:textId="1CDEF8A6" w:rsidR="00B719BA" w:rsidRDefault="00B719BA" w:rsidP="004E0BEF">
      <w:pPr>
        <w:spacing w:after="0"/>
        <w:rPr>
          <w:rFonts w:ascii="Verdana" w:hAnsi="Verdana"/>
          <w:sz w:val="20"/>
          <w:szCs w:val="20"/>
        </w:rPr>
      </w:pPr>
    </w:p>
    <w:p w14:paraId="62EB21EF" w14:textId="65A1BEE2" w:rsidR="00AD2947" w:rsidRDefault="00AD2947" w:rsidP="00AD294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1A22E48F" wp14:editId="0003A476">
            <wp:simplePos x="0" y="0"/>
            <wp:positionH relativeFrom="column">
              <wp:posOffset>-28575</wp:posOffset>
            </wp:positionH>
            <wp:positionV relativeFrom="paragraph">
              <wp:posOffset>20955</wp:posOffset>
            </wp:positionV>
            <wp:extent cx="5943600" cy="1819275"/>
            <wp:effectExtent l="19050" t="19050" r="19050" b="28575"/>
            <wp:wrapTight wrapText="bothSides">
              <wp:wrapPolygon edited="0">
                <wp:start x="-69" y="-226"/>
                <wp:lineTo x="-69" y="21713"/>
                <wp:lineTo x="21600" y="21713"/>
                <wp:lineTo x="21600" y="-226"/>
                <wp:lineTo x="-69" y="-226"/>
              </wp:wrapPolygon>
            </wp:wrapTight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nt_Notices_Screenshot_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Figure 9</w:t>
      </w:r>
    </w:p>
    <w:p w14:paraId="0924D22D" w14:textId="649FB54D" w:rsidR="00BE5C74" w:rsidRDefault="00BE5C74" w:rsidP="00AD294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C68D00F" w14:textId="77777777" w:rsidR="00BE5C74" w:rsidRDefault="00BE5C74" w:rsidP="00BE5C7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note that the export files are only available to be exported for </w:t>
      </w:r>
      <w:r w:rsidRPr="00B719BA">
        <w:rPr>
          <w:rFonts w:ascii="Verdana" w:hAnsi="Verdana"/>
          <w:b/>
          <w:bCs/>
          <w:sz w:val="20"/>
          <w:szCs w:val="20"/>
        </w:rPr>
        <w:t>30 days</w:t>
      </w:r>
      <w:r>
        <w:rPr>
          <w:rFonts w:ascii="Verdana" w:hAnsi="Verdana"/>
          <w:sz w:val="20"/>
          <w:szCs w:val="20"/>
        </w:rPr>
        <w:t xml:space="preserve"> after their original creation date.</w:t>
      </w:r>
    </w:p>
    <w:p w14:paraId="5DFB4A93" w14:textId="77777777" w:rsidR="00BE5C74" w:rsidRDefault="00BE5C74" w:rsidP="00BE5C74">
      <w:pPr>
        <w:spacing w:after="0"/>
        <w:rPr>
          <w:rFonts w:ascii="Verdana" w:hAnsi="Verdana"/>
          <w:sz w:val="20"/>
          <w:szCs w:val="20"/>
        </w:rPr>
      </w:pPr>
    </w:p>
    <w:p w14:paraId="08F264E0" w14:textId="56149D28" w:rsidR="00AD2947" w:rsidRDefault="00AD2947" w:rsidP="00AD294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FDDFD6E" w14:textId="6FD2BF46" w:rsidR="00AD2947" w:rsidRDefault="00AD2947" w:rsidP="00AD2947">
      <w:pPr>
        <w:spacing w:after="0"/>
        <w:rPr>
          <w:rFonts w:ascii="Verdana" w:hAnsi="Verdana"/>
          <w:sz w:val="20"/>
          <w:szCs w:val="20"/>
        </w:rPr>
      </w:pPr>
    </w:p>
    <w:p w14:paraId="16B66EAC" w14:textId="5AE0A47E" w:rsidR="00AD2947" w:rsidRPr="00F71A5E" w:rsidRDefault="00AD2947" w:rsidP="004E0BEF">
      <w:pPr>
        <w:spacing w:after="0"/>
        <w:rPr>
          <w:rFonts w:ascii="Verdana" w:hAnsi="Verdana"/>
          <w:sz w:val="20"/>
          <w:szCs w:val="20"/>
        </w:rPr>
      </w:pPr>
    </w:p>
    <w:sectPr w:rsidR="00AD2947" w:rsidRPr="00F71A5E" w:rsidSect="00CC2522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9399" w14:textId="77777777" w:rsidR="00952739" w:rsidRDefault="00952739" w:rsidP="00952739">
      <w:pPr>
        <w:spacing w:after="0" w:line="240" w:lineRule="auto"/>
      </w:pPr>
      <w:r>
        <w:separator/>
      </w:r>
    </w:p>
  </w:endnote>
  <w:endnote w:type="continuationSeparator" w:id="0">
    <w:p w14:paraId="25D23B73" w14:textId="77777777" w:rsidR="00952739" w:rsidRDefault="00952739" w:rsidP="009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28751" w14:textId="09B59B77" w:rsidR="00CC2522" w:rsidRDefault="00CC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74F05" w14:textId="251DD434" w:rsidR="00952739" w:rsidRDefault="0095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519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D6A5E" w14:textId="77777777" w:rsidR="00CC2522" w:rsidRDefault="00CC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FA145" w14:textId="77777777" w:rsidR="00C92014" w:rsidRDefault="00C9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1EE3" w14:textId="77777777" w:rsidR="00952739" w:rsidRDefault="00952739" w:rsidP="00952739">
      <w:pPr>
        <w:spacing w:after="0" w:line="240" w:lineRule="auto"/>
      </w:pPr>
      <w:r>
        <w:separator/>
      </w:r>
    </w:p>
  </w:footnote>
  <w:footnote w:type="continuationSeparator" w:id="0">
    <w:p w14:paraId="600C813E" w14:textId="77777777" w:rsidR="00952739" w:rsidRDefault="00952739" w:rsidP="0095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783E" w14:textId="77777777" w:rsidR="00952739" w:rsidRPr="009C625C" w:rsidRDefault="00952739" w:rsidP="00952739">
    <w:pPr>
      <w:pStyle w:val="Header"/>
      <w:tabs>
        <w:tab w:val="center" w:pos="864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Applicant Notices Report Instructions</w:t>
    </w:r>
    <w:r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Verdana" w:hAnsi="Verdana" w:cs="Arial"/>
            <w:b/>
            <w:bCs/>
            <w:sz w:val="28"/>
            <w:szCs w:val="28"/>
          </w:rPr>
          <w:t xml:space="preserve">     </w:t>
        </w:r>
      </w:sdtContent>
    </w:sdt>
  </w:p>
  <w:p w14:paraId="6E7DC74D" w14:textId="43E8AB5A" w:rsidR="00952739" w:rsidRPr="00B00AE6" w:rsidRDefault="00952739" w:rsidP="00952739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06.</w:t>
    </w:r>
    <w:r w:rsidR="00384C8D">
      <w:rPr>
        <w:rFonts w:ascii="Verdana" w:hAnsi="Verdana" w:cs="Arial"/>
        <w:sz w:val="20"/>
        <w:szCs w:val="20"/>
      </w:rPr>
      <w:t>21</w:t>
    </w:r>
    <w:r>
      <w:rPr>
        <w:rFonts w:ascii="Verdana" w:hAnsi="Verdana" w:cs="Arial"/>
        <w:sz w:val="20"/>
        <w:szCs w:val="20"/>
      </w:rPr>
      <w:t>.2019</w:t>
    </w:r>
  </w:p>
  <w:p w14:paraId="6A53BA93" w14:textId="77777777" w:rsidR="00952739" w:rsidRDefault="00952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B71" w14:textId="77777777" w:rsidR="00C92014" w:rsidRDefault="00C920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3DB7B" wp14:editId="0187E923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865126" cy="685801"/>
          <wp:effectExtent l="0" t="0" r="0" b="0"/>
          <wp:wrapTight wrapText="bothSides">
            <wp:wrapPolygon edited="0">
              <wp:start x="1005" y="0"/>
              <wp:lineTo x="0" y="2400"/>
              <wp:lineTo x="0" y="9600"/>
              <wp:lineTo x="574" y="21000"/>
              <wp:lineTo x="4596" y="21000"/>
              <wp:lineTo x="21399" y="19200"/>
              <wp:lineTo x="21399" y="4200"/>
              <wp:lineTo x="19388" y="3000"/>
              <wp:lineTo x="4309" y="0"/>
              <wp:lineTo x="1005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6" cy="68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8E8"/>
    <w:multiLevelType w:val="hybridMultilevel"/>
    <w:tmpl w:val="53B2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FC1"/>
    <w:multiLevelType w:val="hybridMultilevel"/>
    <w:tmpl w:val="249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44"/>
    <w:multiLevelType w:val="hybridMultilevel"/>
    <w:tmpl w:val="66101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A3B1C"/>
    <w:multiLevelType w:val="hybridMultilevel"/>
    <w:tmpl w:val="D3667F28"/>
    <w:lvl w:ilvl="0" w:tplc="E270827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FE5177"/>
    <w:multiLevelType w:val="hybridMultilevel"/>
    <w:tmpl w:val="19505760"/>
    <w:lvl w:ilvl="0" w:tplc="E270827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9"/>
    <w:rsid w:val="00085916"/>
    <w:rsid w:val="00116637"/>
    <w:rsid w:val="001578FE"/>
    <w:rsid w:val="001D6FF8"/>
    <w:rsid w:val="001E28D5"/>
    <w:rsid w:val="00377EB1"/>
    <w:rsid w:val="00384C8D"/>
    <w:rsid w:val="003A37E1"/>
    <w:rsid w:val="00416C2C"/>
    <w:rsid w:val="00461100"/>
    <w:rsid w:val="004D138A"/>
    <w:rsid w:val="004E0BEF"/>
    <w:rsid w:val="00561CC7"/>
    <w:rsid w:val="00565533"/>
    <w:rsid w:val="00580D85"/>
    <w:rsid w:val="005B2939"/>
    <w:rsid w:val="0073548C"/>
    <w:rsid w:val="007A3F9F"/>
    <w:rsid w:val="007A5E6F"/>
    <w:rsid w:val="008B1BA2"/>
    <w:rsid w:val="00952739"/>
    <w:rsid w:val="009F6302"/>
    <w:rsid w:val="00A05743"/>
    <w:rsid w:val="00A40AF8"/>
    <w:rsid w:val="00AD2947"/>
    <w:rsid w:val="00B719BA"/>
    <w:rsid w:val="00B74C43"/>
    <w:rsid w:val="00BE5C74"/>
    <w:rsid w:val="00C92014"/>
    <w:rsid w:val="00CC2522"/>
    <w:rsid w:val="00D63FA3"/>
    <w:rsid w:val="00E81489"/>
    <w:rsid w:val="00EE081C"/>
    <w:rsid w:val="00EF2949"/>
    <w:rsid w:val="00F20DE9"/>
    <w:rsid w:val="00F71A5E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DA721"/>
  <w15:chartTrackingRefBased/>
  <w15:docId w15:val="{6A1D04BD-3D9C-47B7-8748-1DE05A8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39"/>
  </w:style>
  <w:style w:type="paragraph" w:styleId="Footer">
    <w:name w:val="footer"/>
    <w:basedOn w:val="Normal"/>
    <w:link w:val="FooterChar"/>
    <w:uiPriority w:val="99"/>
    <w:unhideWhenUsed/>
    <w:rsid w:val="0095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39"/>
  </w:style>
  <w:style w:type="paragraph" w:styleId="ListParagraph">
    <w:name w:val="List Paragraph"/>
    <w:basedOn w:val="Normal"/>
    <w:uiPriority w:val="34"/>
    <w:qFormat/>
    <w:rsid w:val="00C9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customXml" Target="../customXml/item2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9A5FF2-E1AE-49D0-BDAD-E2257860F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AFA08-D6F6-4155-88A6-CF3CD0E839B0}"/>
</file>

<file path=customXml/itemProps3.xml><?xml version="1.0" encoding="utf-8"?>
<ds:datastoreItem xmlns:ds="http://schemas.openxmlformats.org/officeDocument/2006/customXml" ds:itemID="{5009ECCB-2F79-475F-A3A4-752DF724AAA2}"/>
</file>

<file path=customXml/itemProps4.xml><?xml version="1.0" encoding="utf-8"?>
<ds:datastoreItem xmlns:ds="http://schemas.openxmlformats.org/officeDocument/2006/customXml" ds:itemID="{79CC282A-933E-4591-82A0-0E3DB96E7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Melissa</dc:creator>
  <cp:keywords/>
  <dc:description/>
  <cp:lastModifiedBy>Rummel, Jordan</cp:lastModifiedBy>
  <cp:revision>29</cp:revision>
  <dcterms:created xsi:type="dcterms:W3CDTF">2019-06-19T12:46:00Z</dcterms:created>
  <dcterms:modified xsi:type="dcterms:W3CDTF">2019-07-19T12:50:00Z</dcterms:modified>
  <cp:category>Talent Acquisition Alert 2019-04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