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26373D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42C0">
            <w:rPr>
              <w:rFonts w:ascii="Verdana" w:hAnsi="Verdana" w:cs="Verdana"/>
              <w:b/>
              <w:sz w:val="20"/>
              <w:szCs w:val="20"/>
            </w:rPr>
            <w:t>AFSCME General Pay Increase</w:t>
          </w:r>
          <w:r w:rsidR="00CD56DA">
            <w:rPr>
              <w:rFonts w:ascii="Verdana" w:hAnsi="Verdana" w:cs="Verdana"/>
              <w:b/>
              <w:sz w:val="20"/>
              <w:szCs w:val="20"/>
            </w:rPr>
            <w:t xml:space="preserve"> and</w:t>
          </w:r>
          <w:r w:rsidR="004042C0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CD56DA">
            <w:rPr>
              <w:rFonts w:ascii="Verdana" w:hAnsi="Verdana" w:cs="Verdana"/>
              <w:b/>
              <w:sz w:val="20"/>
              <w:szCs w:val="20"/>
            </w:rPr>
            <w:t>Pay Freeze Actions</w:t>
          </w:r>
        </w:sdtContent>
      </w:sdt>
      <w:r w:rsidR="00377242" w:rsidRPr="001A3CC7">
        <w:rPr>
          <w:rFonts w:ascii="Verdana" w:hAnsi="Verdana" w:cs="Verdana"/>
          <w:b/>
          <w:sz w:val="20"/>
          <w:szCs w:val="20"/>
        </w:rPr>
        <w:t> </w:t>
      </w:r>
    </w:p>
    <w:p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26373D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57026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95349A">
            <w:rPr>
              <w:rFonts w:ascii="Verdana" w:hAnsi="Verdana" w:cs="Verdana"/>
              <w:sz w:val="20"/>
              <w:szCs w:val="20"/>
            </w:rPr>
            <w:t xml:space="preserve">the </w:t>
          </w:r>
          <w:r w:rsidR="004042C0">
            <w:rPr>
              <w:rFonts w:ascii="Verdana" w:hAnsi="Verdana" w:cs="Verdana"/>
              <w:sz w:val="20"/>
              <w:szCs w:val="20"/>
            </w:rPr>
            <w:t xml:space="preserve">AFSCME </w:t>
          </w:r>
          <w:r w:rsidR="0095349A">
            <w:rPr>
              <w:rFonts w:ascii="Verdana" w:hAnsi="Verdana" w:cs="Verdana"/>
              <w:sz w:val="20"/>
              <w:szCs w:val="20"/>
            </w:rPr>
            <w:t xml:space="preserve">October 1, 2016 </w:t>
          </w:r>
          <w:r w:rsidR="004042C0">
            <w:rPr>
              <w:rFonts w:ascii="Verdana" w:hAnsi="Verdana" w:cs="Verdana"/>
              <w:sz w:val="20"/>
              <w:szCs w:val="20"/>
            </w:rPr>
            <w:t>General Pay Increase</w:t>
          </w:r>
          <w:r w:rsidR="0095349A">
            <w:rPr>
              <w:rFonts w:ascii="Verdana" w:hAnsi="Verdana" w:cs="Verdana"/>
              <w:sz w:val="20"/>
              <w:szCs w:val="20"/>
            </w:rPr>
            <w:t xml:space="preserve"> and Union Pay Freeze Actions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:rsidR="004275D5" w:rsidRDefault="004275D5" w:rsidP="00B92729">
      <w:pPr>
        <w:rPr>
          <w:rFonts w:ascii="Verdana" w:hAnsi="Verdana" w:cs="Verdana"/>
          <w:sz w:val="20"/>
          <w:szCs w:val="20"/>
        </w:rPr>
      </w:pPr>
    </w:p>
    <w:p w:rsidR="00D977E6" w:rsidRDefault="00D977E6" w:rsidP="00B92729">
      <w:pPr>
        <w:rPr>
          <w:rFonts w:ascii="Verdana" w:hAnsi="Verdana" w:cs="Verdana"/>
          <w:sz w:val="20"/>
          <w:szCs w:val="20"/>
        </w:rPr>
      </w:pPr>
    </w:p>
    <w:p w:rsidR="00CF0D04" w:rsidRDefault="004042C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side letter agreement between the Commonwealth of Pennsylvania and </w:t>
      </w:r>
      <w:r w:rsidR="00436A3D">
        <w:rPr>
          <w:rFonts w:ascii="Verdana" w:hAnsi="Verdana" w:cs="Verdana"/>
          <w:sz w:val="20"/>
          <w:szCs w:val="20"/>
        </w:rPr>
        <w:t xml:space="preserve">Council 13, </w:t>
      </w:r>
      <w:r w:rsidR="00993BB1">
        <w:rPr>
          <w:rFonts w:ascii="Verdana" w:hAnsi="Verdana" w:cs="Verdana"/>
          <w:sz w:val="20"/>
          <w:szCs w:val="20"/>
        </w:rPr>
        <w:t>American Federation of State, County and Municipal Employees (AFSCME)</w:t>
      </w:r>
      <w:r w:rsidR="00436A3D">
        <w:rPr>
          <w:rFonts w:ascii="Verdana" w:hAnsi="Verdana" w:cs="Verdana"/>
          <w:sz w:val="20"/>
          <w:szCs w:val="20"/>
        </w:rPr>
        <w:t xml:space="preserve"> has authorized</w:t>
      </w:r>
      <w:r w:rsidR="008A1420">
        <w:rPr>
          <w:rFonts w:ascii="Verdana" w:hAnsi="Verdana" w:cs="Verdana"/>
          <w:sz w:val="20"/>
          <w:szCs w:val="20"/>
        </w:rPr>
        <w:t xml:space="preserve"> </w:t>
      </w:r>
      <w:r w:rsidR="0041651C">
        <w:rPr>
          <w:rFonts w:ascii="Verdana" w:hAnsi="Verdana" w:cs="Verdana"/>
          <w:sz w:val="20"/>
          <w:szCs w:val="20"/>
        </w:rPr>
        <w:t>the</w:t>
      </w:r>
      <w:r w:rsidR="008A1420">
        <w:rPr>
          <w:rFonts w:ascii="Verdana" w:hAnsi="Verdana" w:cs="Verdana"/>
          <w:sz w:val="20"/>
          <w:szCs w:val="20"/>
        </w:rPr>
        <w:t xml:space="preserve"> </w:t>
      </w:r>
      <w:r w:rsidR="00436A3D">
        <w:rPr>
          <w:rFonts w:ascii="Verdana" w:hAnsi="Verdana" w:cs="Verdana"/>
          <w:sz w:val="20"/>
          <w:szCs w:val="20"/>
        </w:rPr>
        <w:t xml:space="preserve">October 1, 2016 General Pay increase </w:t>
      </w:r>
      <w:r w:rsidR="0041651C">
        <w:rPr>
          <w:rFonts w:ascii="Verdana" w:hAnsi="Verdana" w:cs="Verdana"/>
          <w:sz w:val="20"/>
          <w:szCs w:val="20"/>
        </w:rPr>
        <w:t xml:space="preserve">to be processed in SAP </w:t>
      </w:r>
      <w:r w:rsidR="00436A3D">
        <w:rPr>
          <w:rFonts w:ascii="Verdana" w:hAnsi="Verdana" w:cs="Verdana"/>
          <w:sz w:val="20"/>
          <w:szCs w:val="20"/>
        </w:rPr>
        <w:t>prior to the signing of the contract.</w:t>
      </w:r>
    </w:p>
    <w:p w:rsidR="00A02DBA" w:rsidRDefault="00A02DBA" w:rsidP="0000543A">
      <w:pPr>
        <w:rPr>
          <w:rFonts w:ascii="Verdana" w:hAnsi="Verdana" w:cs="Verdana"/>
          <w:sz w:val="20"/>
          <w:szCs w:val="20"/>
        </w:rPr>
      </w:pPr>
    </w:p>
    <w:p w:rsidR="00436A3D" w:rsidRDefault="00436A3D" w:rsidP="0000543A">
      <w:pPr>
        <w:rPr>
          <w:rFonts w:ascii="Verdana" w:hAnsi="Verdana" w:cs="Verdana"/>
          <w:b/>
          <w:sz w:val="20"/>
          <w:szCs w:val="20"/>
          <w:u w:val="single"/>
        </w:rPr>
      </w:pPr>
      <w:r w:rsidRPr="00436A3D">
        <w:rPr>
          <w:rFonts w:ascii="Verdana" w:hAnsi="Verdana" w:cs="Verdana"/>
          <w:b/>
          <w:sz w:val="20"/>
          <w:szCs w:val="20"/>
          <w:u w:val="single"/>
        </w:rPr>
        <w:t>General Pay Increases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(GPIs)</w:t>
      </w:r>
    </w:p>
    <w:p w:rsidR="00436A3D" w:rsidRDefault="00436A3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10/</w:t>
      </w:r>
      <w:r w:rsidR="00202827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1/16, General Pay Increases will process for eligible union employees according to the following schedule:</w:t>
      </w:r>
    </w:p>
    <w:p w:rsidR="00436A3D" w:rsidRDefault="00436A3D" w:rsidP="0000543A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3505"/>
        <w:gridCol w:w="1170"/>
        <w:gridCol w:w="1530"/>
        <w:gridCol w:w="1530"/>
        <w:gridCol w:w="1620"/>
      </w:tblGrid>
      <w:tr w:rsidR="00E63720" w:rsidTr="00E63720">
        <w:tc>
          <w:tcPr>
            <w:tcW w:w="3505" w:type="dxa"/>
          </w:tcPr>
          <w:p w:rsidR="00436A3D" w:rsidRPr="008A1420" w:rsidRDefault="008A1420" w:rsidP="00E6372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Contract Name and Bargaining Units</w:t>
            </w:r>
          </w:p>
        </w:tc>
        <w:tc>
          <w:tcPr>
            <w:tcW w:w="1170" w:type="dxa"/>
          </w:tcPr>
          <w:p w:rsidR="00436A3D" w:rsidRPr="008A1420" w:rsidRDefault="00436A3D" w:rsidP="00E6372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1530" w:type="dxa"/>
          </w:tcPr>
          <w:p w:rsidR="00436A3D" w:rsidRPr="008A1420" w:rsidRDefault="00436A3D" w:rsidP="00E6372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Percentage</w:t>
            </w:r>
          </w:p>
        </w:tc>
        <w:tc>
          <w:tcPr>
            <w:tcW w:w="1530" w:type="dxa"/>
          </w:tcPr>
          <w:p w:rsidR="00436A3D" w:rsidRPr="008A1420" w:rsidRDefault="008A1420" w:rsidP="00E6372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Processing Dates</w:t>
            </w:r>
          </w:p>
        </w:tc>
        <w:tc>
          <w:tcPr>
            <w:tcW w:w="1620" w:type="dxa"/>
          </w:tcPr>
          <w:p w:rsidR="00436A3D" w:rsidRPr="008A1420" w:rsidRDefault="008A1420" w:rsidP="00E63720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Pay Dates</w:t>
            </w:r>
          </w:p>
        </w:tc>
      </w:tr>
      <w:tr w:rsidR="00E63720" w:rsidTr="00E63720">
        <w:tc>
          <w:tcPr>
            <w:tcW w:w="3505" w:type="dxa"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AFSCME </w:t>
            </w:r>
            <w:r w:rsidRPr="008A1420">
              <w:rPr>
                <w:rFonts w:ascii="Verdana" w:hAnsi="Verdana" w:cs="Verdana"/>
                <w:sz w:val="20"/>
                <w:szCs w:val="20"/>
              </w:rPr>
              <w:t>(</w:t>
            </w:r>
            <w:r w:rsidRPr="008A1420">
              <w:rPr>
                <w:rFonts w:ascii="Verdana" w:hAnsi="Verdana"/>
                <w:sz w:val="20"/>
                <w:szCs w:val="20"/>
              </w:rPr>
              <w:t>A1, A4, B1, B4, G1, G4, J1, N1, A2, B2, G2, G5, J2, N2, 61, 64, 65, W1, W2, W4, W5, W7, W8, W9, A7)</w:t>
            </w:r>
          </w:p>
        </w:tc>
        <w:tc>
          <w:tcPr>
            <w:tcW w:w="1170" w:type="dxa"/>
            <w:vAlign w:val="center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</w:t>
            </w:r>
          </w:p>
        </w:tc>
        <w:tc>
          <w:tcPr>
            <w:tcW w:w="1530" w:type="dxa"/>
            <w:vAlign w:val="center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2.75%</w:t>
            </w:r>
          </w:p>
        </w:tc>
        <w:tc>
          <w:tcPr>
            <w:tcW w:w="1530" w:type="dxa"/>
            <w:vMerge w:val="restart"/>
            <w:vAlign w:val="center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All Pay Areas</w:t>
            </w:r>
          </w:p>
          <w:p w:rsidR="008A1420" w:rsidRP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09/30/2016</w:t>
            </w:r>
          </w:p>
        </w:tc>
        <w:tc>
          <w:tcPr>
            <w:tcW w:w="1620" w:type="dxa"/>
            <w:vMerge w:val="restart"/>
            <w:vAlign w:val="center"/>
          </w:tcPr>
          <w:p w:rsidR="008A1420" w:rsidRPr="008A1420" w:rsidRDefault="008A1420" w:rsidP="00D3548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Z1/Z2/T2</w:t>
            </w:r>
          </w:p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10/21/2016</w:t>
            </w:r>
          </w:p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A1420" w:rsidRPr="008A1420" w:rsidRDefault="008A1420" w:rsidP="00D3548C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Z3/T3</w:t>
            </w:r>
          </w:p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10/28/2016</w:t>
            </w:r>
          </w:p>
        </w:tc>
      </w:tr>
      <w:tr w:rsidR="00E63720" w:rsidTr="00E63720">
        <w:tc>
          <w:tcPr>
            <w:tcW w:w="3505" w:type="dxa"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AFSCME (G2, G4, G5)</w:t>
            </w:r>
          </w:p>
        </w:tc>
        <w:tc>
          <w:tcPr>
            <w:tcW w:w="1170" w:type="dxa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</w:t>
            </w:r>
          </w:p>
        </w:tc>
        <w:tc>
          <w:tcPr>
            <w:tcW w:w="1530" w:type="dxa"/>
            <w:vAlign w:val="center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2.75%</w:t>
            </w:r>
          </w:p>
        </w:tc>
        <w:tc>
          <w:tcPr>
            <w:tcW w:w="1530" w:type="dxa"/>
            <w:vMerge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63720" w:rsidTr="00E63720">
        <w:tc>
          <w:tcPr>
            <w:tcW w:w="3505" w:type="dxa"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UGSOA (R1, R2)</w:t>
            </w:r>
            <w:r w:rsidRPr="00E63720">
              <w:rPr>
                <w:rFonts w:ascii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1530" w:type="dxa"/>
            <w:vAlign w:val="center"/>
          </w:tcPr>
          <w:p w:rsidR="008A1420" w:rsidRDefault="008A1420" w:rsidP="00D354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2.75%</w:t>
            </w:r>
          </w:p>
        </w:tc>
        <w:tc>
          <w:tcPr>
            <w:tcW w:w="1530" w:type="dxa"/>
            <w:vMerge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A1420" w:rsidRDefault="008A1420" w:rsidP="008A142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36A3D" w:rsidRDefault="00436A3D" w:rsidP="0000543A">
      <w:pPr>
        <w:rPr>
          <w:rFonts w:ascii="Verdana" w:hAnsi="Verdana" w:cs="Verdana"/>
          <w:sz w:val="20"/>
          <w:szCs w:val="20"/>
        </w:rPr>
      </w:pPr>
    </w:p>
    <w:p w:rsidR="00436A3D" w:rsidRPr="008A1420" w:rsidRDefault="008A1420" w:rsidP="008A1420">
      <w:pPr>
        <w:rPr>
          <w:rFonts w:ascii="Verdana" w:hAnsi="Verdana" w:cs="Verdana"/>
          <w:sz w:val="20"/>
          <w:szCs w:val="20"/>
        </w:rPr>
      </w:pPr>
      <w:r w:rsidRPr="00E63720">
        <w:rPr>
          <w:rFonts w:ascii="Verdana" w:hAnsi="Verdana" w:cs="Verdana"/>
          <w:b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>The union contracts for UGSOA grant</w:t>
      </w:r>
      <w:r w:rsidR="0041651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FB3D6C">
        <w:rPr>
          <w:rFonts w:ascii="Verdana" w:hAnsi="Verdana" w:cs="Verdana"/>
          <w:sz w:val="20"/>
          <w:szCs w:val="20"/>
        </w:rPr>
        <w:t>employees any</w:t>
      </w:r>
      <w:r>
        <w:rPr>
          <w:rFonts w:ascii="Verdana" w:hAnsi="Verdana" w:cs="Verdana"/>
          <w:sz w:val="20"/>
          <w:szCs w:val="20"/>
        </w:rPr>
        <w:t xml:space="preserve"> general pay increases obtained by AFSCME during the time period of July 1, 2016 through August 31, 2017. Those </w:t>
      </w:r>
      <w:r w:rsidR="00202827">
        <w:rPr>
          <w:rFonts w:ascii="Verdana" w:hAnsi="Verdana" w:cs="Verdana"/>
          <w:sz w:val="20"/>
          <w:szCs w:val="20"/>
        </w:rPr>
        <w:t>stipulations</w:t>
      </w:r>
      <w:r>
        <w:rPr>
          <w:rFonts w:ascii="Verdana" w:hAnsi="Verdana" w:cs="Verdana"/>
          <w:sz w:val="20"/>
          <w:szCs w:val="20"/>
        </w:rPr>
        <w:t xml:space="preserve"> can be found in Article</w:t>
      </w:r>
      <w:r w:rsidR="00202827">
        <w:rPr>
          <w:rFonts w:ascii="Verdana" w:hAnsi="Verdana" w:cs="Verdana"/>
          <w:sz w:val="20"/>
          <w:szCs w:val="20"/>
        </w:rPr>
        <w:t>/Recommendation</w:t>
      </w:r>
      <w:r>
        <w:rPr>
          <w:rFonts w:ascii="Verdana" w:hAnsi="Verdana" w:cs="Verdana"/>
          <w:sz w:val="20"/>
          <w:szCs w:val="20"/>
        </w:rPr>
        <w:t xml:space="preserve"> 18-Section 3 of the </w:t>
      </w:r>
      <w:r w:rsidR="002409B3">
        <w:rPr>
          <w:rFonts w:ascii="Verdana" w:hAnsi="Verdana" w:cs="Verdana"/>
          <w:sz w:val="20"/>
          <w:szCs w:val="20"/>
        </w:rPr>
        <w:t>Collective Bargaining Agreement/</w:t>
      </w:r>
      <w:r>
        <w:rPr>
          <w:rFonts w:ascii="Verdana" w:hAnsi="Verdana" w:cs="Verdana"/>
          <w:sz w:val="20"/>
          <w:szCs w:val="20"/>
        </w:rPr>
        <w:t>Memorandum of Understanding.</w:t>
      </w:r>
    </w:p>
    <w:p w:rsidR="00A02DBA" w:rsidRDefault="00A02DBA" w:rsidP="0000543A">
      <w:pPr>
        <w:rPr>
          <w:rFonts w:ascii="Verdana" w:hAnsi="Verdana" w:cs="Verdana"/>
          <w:sz w:val="20"/>
          <w:szCs w:val="20"/>
        </w:rPr>
      </w:pPr>
    </w:p>
    <w:p w:rsidR="001045CD" w:rsidRDefault="001045CD" w:rsidP="0000543A">
      <w:pPr>
        <w:rPr>
          <w:rFonts w:ascii="Verdana" w:hAnsi="Verdana" w:cs="Verdana"/>
          <w:b/>
          <w:sz w:val="20"/>
          <w:szCs w:val="20"/>
          <w:u w:val="single"/>
        </w:rPr>
      </w:pPr>
      <w:r w:rsidRPr="00436A3D">
        <w:rPr>
          <w:rFonts w:ascii="Verdana" w:hAnsi="Verdana" w:cs="Verdana"/>
          <w:b/>
          <w:sz w:val="20"/>
          <w:szCs w:val="20"/>
          <w:u w:val="single"/>
        </w:rPr>
        <w:t>Pay Freezes</w:t>
      </w:r>
    </w:p>
    <w:p w:rsidR="00202827" w:rsidRDefault="00D60B31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194A4D">
        <w:rPr>
          <w:rFonts w:ascii="Verdana" w:hAnsi="Verdana" w:cs="Verdana"/>
          <w:sz w:val="20"/>
          <w:szCs w:val="20"/>
        </w:rPr>
        <w:t>remaining union employees who are on the Standard (ST) Pay Schedule and in bargainin</w:t>
      </w:r>
      <w:r>
        <w:rPr>
          <w:rFonts w:ascii="Verdana" w:hAnsi="Verdana" w:cs="Verdana"/>
          <w:sz w:val="20"/>
          <w:szCs w:val="20"/>
        </w:rPr>
        <w:t xml:space="preserve">g units with an expired contract </w:t>
      </w:r>
      <w:r w:rsidR="00194A4D">
        <w:rPr>
          <w:rFonts w:ascii="Verdana" w:hAnsi="Verdana" w:cs="Verdana"/>
          <w:sz w:val="20"/>
          <w:szCs w:val="20"/>
        </w:rPr>
        <w:t xml:space="preserve">are not eligible for the General Pay Increase at this time. </w:t>
      </w:r>
    </w:p>
    <w:p w:rsidR="00202827" w:rsidRDefault="00202827" w:rsidP="0000543A">
      <w:pPr>
        <w:rPr>
          <w:rFonts w:ascii="Verdana" w:hAnsi="Verdana" w:cs="Verdana"/>
          <w:sz w:val="20"/>
          <w:szCs w:val="20"/>
        </w:rPr>
      </w:pPr>
    </w:p>
    <w:p w:rsidR="00934637" w:rsidRDefault="000C529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09/30/16, pay freeze actions will be processed for e</w:t>
      </w:r>
      <w:r w:rsidR="00194A4D">
        <w:rPr>
          <w:rFonts w:ascii="Verdana" w:hAnsi="Verdana" w:cs="Verdana"/>
          <w:sz w:val="20"/>
          <w:szCs w:val="20"/>
        </w:rPr>
        <w:t>mployees in th</w:t>
      </w:r>
      <w:r>
        <w:rPr>
          <w:rFonts w:ascii="Verdana" w:hAnsi="Verdana" w:cs="Verdana"/>
          <w:sz w:val="20"/>
          <w:szCs w:val="20"/>
        </w:rPr>
        <w:t>e unions/bargaining unit</w:t>
      </w:r>
      <w:r w:rsidR="00D60B31">
        <w:rPr>
          <w:rFonts w:ascii="Verdana" w:hAnsi="Verdana" w:cs="Verdana"/>
          <w:sz w:val="20"/>
          <w:szCs w:val="20"/>
        </w:rPr>
        <w:t>s</w:t>
      </w:r>
      <w:r w:rsidR="00526E8D">
        <w:rPr>
          <w:rFonts w:ascii="Verdana" w:hAnsi="Verdana" w:cs="Verdana"/>
          <w:sz w:val="20"/>
          <w:szCs w:val="20"/>
        </w:rPr>
        <w:t xml:space="preserve"> listed below</w:t>
      </w:r>
      <w:r>
        <w:rPr>
          <w:rFonts w:ascii="Verdana" w:hAnsi="Verdana" w:cs="Verdana"/>
          <w:sz w:val="20"/>
          <w:szCs w:val="20"/>
        </w:rPr>
        <w:t xml:space="preserve">. Employees will be </w:t>
      </w:r>
      <w:r w:rsidR="00194A4D">
        <w:rPr>
          <w:rFonts w:ascii="Verdana" w:hAnsi="Verdana" w:cs="Verdana"/>
          <w:sz w:val="20"/>
          <w:szCs w:val="20"/>
        </w:rPr>
        <w:t xml:space="preserve">frozen at their current rate of pay and will continue to be paid in accordance with the </w:t>
      </w:r>
      <w:hyperlink r:id="rId8" w:history="1">
        <w:r w:rsidR="00CF0D04" w:rsidRPr="00436A3D">
          <w:rPr>
            <w:rStyle w:val="Hyperlink"/>
            <w:rFonts w:ascii="Verdana" w:hAnsi="Verdana" w:cs="Verdana"/>
            <w:sz w:val="20"/>
            <w:szCs w:val="20"/>
          </w:rPr>
          <w:t xml:space="preserve">July 1, </w:t>
        </w:r>
        <w:r w:rsidR="00C002A2" w:rsidRPr="00436A3D">
          <w:rPr>
            <w:rStyle w:val="Hyperlink"/>
            <w:rFonts w:ascii="Verdana" w:hAnsi="Verdana" w:cs="Verdana"/>
            <w:sz w:val="20"/>
            <w:szCs w:val="20"/>
          </w:rPr>
          <w:t>2014 Standard Pay Schedule</w:t>
        </w:r>
      </w:hyperlink>
      <w:r w:rsidR="00194A4D">
        <w:rPr>
          <w:rFonts w:ascii="Verdana" w:hAnsi="Verdana" w:cs="Verdana"/>
          <w:sz w:val="20"/>
          <w:szCs w:val="20"/>
        </w:rPr>
        <w:t>.</w:t>
      </w:r>
      <w:r w:rsidR="00E63720">
        <w:rPr>
          <w:rFonts w:ascii="Verdana" w:hAnsi="Verdana" w:cs="Verdana"/>
          <w:sz w:val="20"/>
          <w:szCs w:val="20"/>
        </w:rPr>
        <w:t xml:space="preserve"> </w:t>
      </w:r>
      <w:r w:rsidR="007D5EEF" w:rsidRPr="00436A3D">
        <w:rPr>
          <w:rFonts w:ascii="Verdana" w:hAnsi="Verdana" w:cs="Verdana"/>
          <w:sz w:val="20"/>
          <w:szCs w:val="20"/>
        </w:rPr>
        <w:t>When signed contracts are received, the pay freeze</w:t>
      </w:r>
      <w:r w:rsidR="00636C44" w:rsidRPr="00436A3D">
        <w:rPr>
          <w:rFonts w:ascii="Verdana" w:hAnsi="Verdana" w:cs="Verdana"/>
          <w:sz w:val="20"/>
          <w:szCs w:val="20"/>
        </w:rPr>
        <w:t xml:space="preserve"> actions</w:t>
      </w:r>
      <w:r w:rsidR="007D5EEF" w:rsidRPr="00436A3D">
        <w:rPr>
          <w:rFonts w:ascii="Verdana" w:hAnsi="Verdana" w:cs="Verdana"/>
          <w:sz w:val="20"/>
          <w:szCs w:val="20"/>
        </w:rPr>
        <w:t xml:space="preserve"> will be removed as dictated by the new contracts.</w:t>
      </w:r>
    </w:p>
    <w:p w:rsidR="00A02DBA" w:rsidRDefault="00A02DBA" w:rsidP="0000543A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2160"/>
      </w:tblGrid>
      <w:tr w:rsidR="00E63720" w:rsidRPr="00E129B4" w:rsidTr="00E63720">
        <w:trPr>
          <w:trHeight w:val="332"/>
        </w:trPr>
        <w:tc>
          <w:tcPr>
            <w:tcW w:w="4387" w:type="dxa"/>
          </w:tcPr>
          <w:p w:rsidR="00E63720" w:rsidRPr="00E63720" w:rsidRDefault="00E63720" w:rsidP="002F2C4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63720">
              <w:rPr>
                <w:rFonts w:ascii="Verdana" w:hAnsi="Verdana"/>
                <w:b/>
                <w:sz w:val="20"/>
                <w:szCs w:val="20"/>
              </w:rPr>
              <w:t>Contract Name and Bargaining Units</w:t>
            </w:r>
          </w:p>
        </w:tc>
        <w:tc>
          <w:tcPr>
            <w:tcW w:w="2160" w:type="dxa"/>
            <w:shd w:val="clear" w:color="auto" w:fill="auto"/>
          </w:tcPr>
          <w:p w:rsidR="00E63720" w:rsidRPr="00E63720" w:rsidRDefault="00E63720" w:rsidP="002F2C41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E63720">
              <w:rPr>
                <w:rFonts w:ascii="Verdana" w:hAnsi="Verdana"/>
                <w:b/>
                <w:sz w:val="20"/>
                <w:szCs w:val="20"/>
              </w:rPr>
              <w:t>Bargaining Units</w:t>
            </w:r>
          </w:p>
        </w:tc>
      </w:tr>
      <w:tr w:rsidR="00E63720" w:rsidRPr="006016CE" w:rsidTr="00E63720">
        <w:trPr>
          <w:trHeight w:val="260"/>
        </w:trPr>
        <w:tc>
          <w:tcPr>
            <w:tcW w:w="4387" w:type="dxa"/>
          </w:tcPr>
          <w:p w:rsidR="00E63720" w:rsidRPr="00E63720" w:rsidRDefault="00E63720" w:rsidP="002F2C4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FOSCEP</w:t>
            </w:r>
          </w:p>
        </w:tc>
        <w:tc>
          <w:tcPr>
            <w:tcW w:w="2160" w:type="dxa"/>
            <w:shd w:val="clear" w:color="auto" w:fill="auto"/>
          </w:tcPr>
          <w:p w:rsidR="00E63720" w:rsidRPr="00E63720" w:rsidRDefault="00E63720" w:rsidP="002F2C4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C4, C5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0C529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C5290">
              <w:rPr>
                <w:rFonts w:ascii="Verdana" w:hAnsi="Verdana"/>
                <w:sz w:val="20"/>
                <w:szCs w:val="20"/>
              </w:rPr>
              <w:t>SEIU-Local 668</w:t>
            </w:r>
          </w:p>
        </w:tc>
        <w:tc>
          <w:tcPr>
            <w:tcW w:w="2160" w:type="dxa"/>
            <w:shd w:val="clear" w:color="auto" w:fill="auto"/>
          </w:tcPr>
          <w:p w:rsidR="00A02DBA" w:rsidRPr="000C529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C5290">
              <w:rPr>
                <w:rFonts w:ascii="Verdana" w:hAnsi="Verdana"/>
                <w:sz w:val="20"/>
                <w:szCs w:val="20"/>
              </w:rPr>
              <w:t>F1, F4, F5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PSSU – Referees Unit</w:t>
            </w:r>
          </w:p>
        </w:tc>
        <w:tc>
          <w:tcPr>
            <w:tcW w:w="2160" w:type="dxa"/>
            <w:shd w:val="clear" w:color="auto" w:fill="auto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I5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PLEA</w:t>
            </w:r>
          </w:p>
        </w:tc>
        <w:tc>
          <w:tcPr>
            <w:tcW w:w="2160" w:type="dxa"/>
            <w:shd w:val="clear" w:color="auto" w:fill="auto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K4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lastRenderedPageBreak/>
              <w:t>ALES</w:t>
            </w:r>
          </w:p>
        </w:tc>
        <w:tc>
          <w:tcPr>
            <w:tcW w:w="2160" w:type="dxa"/>
            <w:shd w:val="clear" w:color="auto" w:fill="auto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K5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SEIU – Healthcare PA</w:t>
            </w:r>
          </w:p>
        </w:tc>
        <w:tc>
          <w:tcPr>
            <w:tcW w:w="2160" w:type="dxa"/>
            <w:shd w:val="clear" w:color="auto" w:fill="auto"/>
          </w:tcPr>
          <w:p w:rsidR="00A02DBA" w:rsidRPr="00E6372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63720">
              <w:rPr>
                <w:rFonts w:ascii="Verdana" w:hAnsi="Verdana"/>
                <w:sz w:val="20"/>
                <w:szCs w:val="20"/>
              </w:rPr>
              <w:t>P4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0C529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C5290">
              <w:rPr>
                <w:rFonts w:ascii="Verdana" w:hAnsi="Verdana"/>
                <w:sz w:val="20"/>
                <w:szCs w:val="20"/>
              </w:rPr>
              <w:t>OPEIU</w:t>
            </w:r>
          </w:p>
        </w:tc>
        <w:tc>
          <w:tcPr>
            <w:tcW w:w="2160" w:type="dxa"/>
            <w:shd w:val="clear" w:color="auto" w:fill="auto"/>
          </w:tcPr>
          <w:p w:rsidR="00A02DBA" w:rsidRPr="000C529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C5290">
              <w:rPr>
                <w:rFonts w:ascii="Verdana" w:hAnsi="Verdana"/>
                <w:sz w:val="20"/>
                <w:szCs w:val="20"/>
              </w:rPr>
              <w:t>P5</w:t>
            </w:r>
          </w:p>
        </w:tc>
      </w:tr>
      <w:tr w:rsidR="00A02DBA" w:rsidTr="00E63720">
        <w:trPr>
          <w:trHeight w:val="260"/>
        </w:trPr>
        <w:tc>
          <w:tcPr>
            <w:tcW w:w="4387" w:type="dxa"/>
          </w:tcPr>
          <w:p w:rsidR="00A02DBA" w:rsidRPr="000C529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C5290">
              <w:rPr>
                <w:rFonts w:ascii="Verdana" w:hAnsi="Verdana"/>
                <w:sz w:val="20"/>
                <w:szCs w:val="20"/>
              </w:rPr>
              <w:t>CBA</w:t>
            </w:r>
          </w:p>
        </w:tc>
        <w:tc>
          <w:tcPr>
            <w:tcW w:w="2160" w:type="dxa"/>
            <w:shd w:val="clear" w:color="auto" w:fill="auto"/>
          </w:tcPr>
          <w:p w:rsidR="00A02DBA" w:rsidRPr="000C5290" w:rsidRDefault="00A02DBA" w:rsidP="00A02DB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C5290">
              <w:rPr>
                <w:rFonts w:ascii="Verdana" w:hAnsi="Verdana"/>
                <w:sz w:val="20"/>
                <w:szCs w:val="20"/>
              </w:rPr>
              <w:t>Z4</w:t>
            </w:r>
          </w:p>
        </w:tc>
      </w:tr>
    </w:tbl>
    <w:p w:rsidR="006F1BC4" w:rsidRDefault="006F1BC4" w:rsidP="006F1BC4">
      <w:pPr>
        <w:rPr>
          <w:rFonts w:ascii="Verdana" w:hAnsi="Verdana" w:cs="Verdana"/>
          <w:sz w:val="20"/>
          <w:szCs w:val="20"/>
        </w:rPr>
      </w:pPr>
    </w:p>
    <w:p w:rsidR="006F1BC4" w:rsidRDefault="006F1BC4" w:rsidP="006F1BC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Agencies processing seasonal hires and leave without pay (LWOP) actions should refer to </w:t>
      </w:r>
      <w:hyperlink r:id="rId9" w:history="1">
        <w:r w:rsidRPr="00FB3D6C">
          <w:rPr>
            <w:rStyle w:val="Hyperlink"/>
            <w:rFonts w:ascii="Verdana" w:hAnsi="Verdana" w:cs="Verdana"/>
            <w:sz w:val="20"/>
            <w:szCs w:val="20"/>
          </w:rPr>
          <w:t>PA Alert 2016-09</w:t>
        </w:r>
      </w:hyperlink>
      <w:r>
        <w:rPr>
          <w:rFonts w:ascii="Verdana" w:hAnsi="Verdana" w:cs="Verdana"/>
          <w:sz w:val="20"/>
          <w:szCs w:val="20"/>
        </w:rPr>
        <w:t xml:space="preserve"> for </w:t>
      </w:r>
      <w:r w:rsidR="000062AF">
        <w:rPr>
          <w:rFonts w:ascii="Verdana" w:hAnsi="Verdana" w:cs="Verdana"/>
          <w:sz w:val="20"/>
          <w:szCs w:val="20"/>
        </w:rPr>
        <w:t xml:space="preserve">detailed </w:t>
      </w:r>
      <w:r>
        <w:rPr>
          <w:rFonts w:ascii="Verdana" w:hAnsi="Verdana" w:cs="Verdana"/>
          <w:sz w:val="20"/>
          <w:szCs w:val="20"/>
        </w:rPr>
        <w:t xml:space="preserve">transactional information related to entering the pay freeze action. </w:t>
      </w:r>
    </w:p>
    <w:p w:rsidR="00CF0D04" w:rsidRDefault="00CF0D04" w:rsidP="009C625C">
      <w:pPr>
        <w:rPr>
          <w:rFonts w:ascii="Verdana" w:hAnsi="Verdana" w:cs="Verdana"/>
          <w:b/>
          <w:sz w:val="20"/>
          <w:szCs w:val="20"/>
        </w:rPr>
      </w:pPr>
    </w:p>
    <w:p w:rsidR="00920360" w:rsidRDefault="00920360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Expired CBA</w:t>
      </w:r>
      <w:r w:rsidR="00A8498C">
        <w:rPr>
          <w:rFonts w:ascii="Verdana" w:hAnsi="Verdana" w:cs="Verdana"/>
          <w:b/>
          <w:sz w:val="20"/>
          <w:szCs w:val="20"/>
          <w:u w:val="single"/>
        </w:rPr>
        <w:t>s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&amp; MOU</w:t>
      </w:r>
      <w:r w:rsidR="00A8498C">
        <w:rPr>
          <w:rFonts w:ascii="Verdana" w:hAnsi="Verdana" w:cs="Verdana"/>
          <w:b/>
          <w:sz w:val="20"/>
          <w:szCs w:val="20"/>
          <w:u w:val="single"/>
        </w:rPr>
        <w:t>s</w:t>
      </w:r>
    </w:p>
    <w:p w:rsidR="00920360" w:rsidRDefault="00EE5E68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920360">
        <w:rPr>
          <w:rFonts w:ascii="Verdana" w:hAnsi="Verdana" w:cs="Verdana"/>
          <w:sz w:val="20"/>
          <w:szCs w:val="20"/>
        </w:rPr>
        <w:t>union contracts</w:t>
      </w:r>
      <w:r w:rsidR="00526E8D">
        <w:rPr>
          <w:rFonts w:ascii="Verdana" w:hAnsi="Verdana" w:cs="Verdana"/>
          <w:sz w:val="20"/>
          <w:szCs w:val="20"/>
        </w:rPr>
        <w:t xml:space="preserve"> </w:t>
      </w:r>
      <w:r w:rsidR="00A8498C">
        <w:rPr>
          <w:rFonts w:ascii="Verdana" w:hAnsi="Verdana" w:cs="Verdana"/>
          <w:sz w:val="20"/>
          <w:szCs w:val="20"/>
        </w:rPr>
        <w:t xml:space="preserve">listed </w:t>
      </w:r>
      <w:r w:rsidR="00526E8D">
        <w:rPr>
          <w:rFonts w:ascii="Verdana" w:hAnsi="Verdana" w:cs="Verdana"/>
          <w:sz w:val="20"/>
          <w:szCs w:val="20"/>
        </w:rPr>
        <w:t>below</w:t>
      </w:r>
      <w:r w:rsidR="00920360">
        <w:rPr>
          <w:rFonts w:ascii="Verdana" w:hAnsi="Verdana" w:cs="Verdana"/>
          <w:sz w:val="20"/>
          <w:szCs w:val="20"/>
        </w:rPr>
        <w:t xml:space="preserve"> are </w:t>
      </w:r>
      <w:r w:rsidR="005446FE">
        <w:rPr>
          <w:rFonts w:ascii="Verdana" w:hAnsi="Verdana" w:cs="Verdana"/>
          <w:sz w:val="20"/>
          <w:szCs w:val="20"/>
        </w:rPr>
        <w:t xml:space="preserve">still </w:t>
      </w:r>
      <w:r w:rsidR="00920360">
        <w:rPr>
          <w:rFonts w:ascii="Verdana" w:hAnsi="Verdana" w:cs="Verdana"/>
          <w:sz w:val="20"/>
          <w:szCs w:val="20"/>
        </w:rPr>
        <w:t>expired</w:t>
      </w:r>
      <w:r>
        <w:rPr>
          <w:rFonts w:ascii="Verdana" w:hAnsi="Verdana" w:cs="Verdana"/>
          <w:sz w:val="20"/>
          <w:szCs w:val="20"/>
        </w:rPr>
        <w:t xml:space="preserve"> at the present time</w:t>
      </w:r>
      <w:r w:rsidR="00526E8D">
        <w:rPr>
          <w:rFonts w:ascii="Verdana" w:hAnsi="Verdana" w:cs="Verdana"/>
          <w:sz w:val="20"/>
          <w:szCs w:val="20"/>
        </w:rPr>
        <w:t>. When signed contracts are received, the implementation of any pay increases will be processed as dictated by the new contracts.</w:t>
      </w:r>
      <w:r w:rsidR="00FC7275">
        <w:rPr>
          <w:rFonts w:ascii="Verdana" w:hAnsi="Verdana" w:cs="Verdana"/>
          <w:sz w:val="20"/>
          <w:szCs w:val="20"/>
        </w:rPr>
        <w:t xml:space="preserve"> </w:t>
      </w:r>
    </w:p>
    <w:p w:rsidR="00EE5E68" w:rsidRDefault="00EE5E68" w:rsidP="009C625C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340"/>
        <w:gridCol w:w="1980"/>
      </w:tblGrid>
      <w:tr w:rsidR="00920360" w:rsidTr="000652EE">
        <w:tc>
          <w:tcPr>
            <w:tcW w:w="4945" w:type="dxa"/>
          </w:tcPr>
          <w:p w:rsidR="00920360" w:rsidRPr="00920360" w:rsidRDefault="00920360" w:rsidP="009C625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0360">
              <w:rPr>
                <w:rFonts w:ascii="Verdana" w:hAnsi="Verdana" w:cs="Verdana"/>
                <w:b/>
                <w:sz w:val="20"/>
                <w:szCs w:val="20"/>
              </w:rPr>
              <w:t>Contract Name</w:t>
            </w:r>
          </w:p>
        </w:tc>
        <w:tc>
          <w:tcPr>
            <w:tcW w:w="2340" w:type="dxa"/>
          </w:tcPr>
          <w:p w:rsidR="00920360" w:rsidRPr="00920360" w:rsidRDefault="00920360" w:rsidP="009C625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0360">
              <w:rPr>
                <w:rFonts w:ascii="Verdana" w:hAnsi="Verdana" w:cs="Verdana"/>
                <w:b/>
                <w:sz w:val="20"/>
                <w:szCs w:val="20"/>
              </w:rPr>
              <w:t>Bargaining Unit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(s)</w:t>
            </w:r>
          </w:p>
        </w:tc>
        <w:tc>
          <w:tcPr>
            <w:tcW w:w="1980" w:type="dxa"/>
          </w:tcPr>
          <w:p w:rsidR="00920360" w:rsidRPr="00920360" w:rsidRDefault="00920360" w:rsidP="009C625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920360">
              <w:rPr>
                <w:rFonts w:ascii="Verdana" w:hAnsi="Verdana" w:cs="Verdana"/>
                <w:b/>
                <w:sz w:val="20"/>
                <w:szCs w:val="20"/>
              </w:rPr>
              <w:t>Expiration Date</w:t>
            </w:r>
          </w:p>
        </w:tc>
      </w:tr>
      <w:tr w:rsidR="00920360" w:rsidRPr="005446FE" w:rsidTr="000652EE">
        <w:tc>
          <w:tcPr>
            <w:tcW w:w="4945" w:type="dxa"/>
          </w:tcPr>
          <w:p w:rsidR="00920360" w:rsidRPr="005446FE" w:rsidRDefault="005446FE" w:rsidP="009C625C">
            <w:pPr>
              <w:rPr>
                <w:rFonts w:ascii="Verdana" w:hAnsi="Verdana" w:cs="Verdana"/>
                <w:sz w:val="20"/>
                <w:szCs w:val="20"/>
              </w:rPr>
            </w:pPr>
            <w:r w:rsidRPr="005446FE">
              <w:rPr>
                <w:rFonts w:ascii="Verdana" w:hAnsi="Verdana" w:cs="Verdana"/>
                <w:sz w:val="20"/>
                <w:szCs w:val="20"/>
              </w:rPr>
              <w:t>FOP – Capitol Police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Lodge</w:t>
            </w:r>
          </w:p>
        </w:tc>
        <w:tc>
          <w:tcPr>
            <w:tcW w:w="2340" w:type="dxa"/>
          </w:tcPr>
          <w:p w:rsidR="00920360" w:rsidRPr="005446FE" w:rsidRDefault="005446FE" w:rsidP="009C625C">
            <w:pPr>
              <w:rPr>
                <w:rFonts w:ascii="Verdana" w:hAnsi="Verdana" w:cs="Verdana"/>
                <w:sz w:val="20"/>
                <w:szCs w:val="20"/>
              </w:rPr>
            </w:pPr>
            <w:r w:rsidRPr="005446FE">
              <w:rPr>
                <w:rFonts w:ascii="Verdana" w:hAnsi="Verdana" w:cs="Verdana"/>
                <w:sz w:val="20"/>
                <w:szCs w:val="20"/>
              </w:rPr>
              <w:t>L4</w:t>
            </w:r>
          </w:p>
        </w:tc>
        <w:tc>
          <w:tcPr>
            <w:tcW w:w="1980" w:type="dxa"/>
          </w:tcPr>
          <w:p w:rsidR="00920360" w:rsidRPr="005446FE" w:rsidRDefault="005446FE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06/30/2015</w:t>
            </w:r>
          </w:p>
        </w:tc>
      </w:tr>
      <w:tr w:rsidR="00920360" w:rsidRPr="005446FE" w:rsidTr="000652EE">
        <w:tc>
          <w:tcPr>
            <w:tcW w:w="4945" w:type="dxa"/>
          </w:tcPr>
          <w:p w:rsidR="00920360" w:rsidRPr="005446FE" w:rsidRDefault="005446FE" w:rsidP="009C625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PSRA</w:t>
            </w:r>
          </w:p>
        </w:tc>
        <w:tc>
          <w:tcPr>
            <w:tcW w:w="2340" w:type="dxa"/>
          </w:tcPr>
          <w:p w:rsidR="00920360" w:rsidRPr="005446FE" w:rsidRDefault="005446FE" w:rsidP="009C625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R4</w:t>
            </w:r>
          </w:p>
        </w:tc>
        <w:tc>
          <w:tcPr>
            <w:tcW w:w="1980" w:type="dxa"/>
          </w:tcPr>
          <w:p w:rsidR="00920360" w:rsidRPr="005446FE" w:rsidRDefault="005446FE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06/30/2015</w:t>
            </w:r>
          </w:p>
        </w:tc>
      </w:tr>
      <w:tr w:rsidR="00920360" w:rsidRPr="005446FE" w:rsidTr="000652EE">
        <w:tc>
          <w:tcPr>
            <w:tcW w:w="4945" w:type="dxa"/>
          </w:tcPr>
          <w:p w:rsidR="00920360" w:rsidRPr="005446FE" w:rsidRDefault="005446FE" w:rsidP="009C625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FOP-NARC</w:t>
            </w:r>
          </w:p>
        </w:tc>
        <w:tc>
          <w:tcPr>
            <w:tcW w:w="2340" w:type="dxa"/>
          </w:tcPr>
          <w:p w:rsidR="00920360" w:rsidRPr="005446FE" w:rsidRDefault="005446FE" w:rsidP="009C625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G9</w:t>
            </w:r>
          </w:p>
        </w:tc>
        <w:tc>
          <w:tcPr>
            <w:tcW w:w="1980" w:type="dxa"/>
          </w:tcPr>
          <w:p w:rsidR="00920360" w:rsidRPr="005446FE" w:rsidRDefault="005446FE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06/30/2015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FOSCEP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C4, C5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CIVEA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E4, E7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SEIU - </w:t>
            </w:r>
            <w:r w:rsidRPr="007F3B12">
              <w:rPr>
                <w:rFonts w:ascii="Verdana" w:hAnsi="Verdana" w:cs="Verdana"/>
                <w:sz w:val="20"/>
                <w:szCs w:val="20"/>
              </w:rPr>
              <w:t>Local 668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F1, F4, F5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PSSU-Referees Unit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I5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0652EE" w:rsidRPr="005446FE" w:rsidTr="000652EE">
        <w:tc>
          <w:tcPr>
            <w:tcW w:w="4945" w:type="dxa"/>
          </w:tcPr>
          <w:p w:rsidR="000652EE" w:rsidRPr="007F3B12" w:rsidRDefault="00173FC2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/>
                <w:sz w:val="20"/>
                <w:szCs w:val="20"/>
              </w:rPr>
              <w:t>FOP – Conservation Police Officers Lodge 114, Fish and Boat Commission</w:t>
            </w:r>
          </w:p>
        </w:tc>
        <w:tc>
          <w:tcPr>
            <w:tcW w:w="2340" w:type="dxa"/>
          </w:tcPr>
          <w:p w:rsidR="000652EE" w:rsidRPr="007F3B12" w:rsidRDefault="00173FC2" w:rsidP="005446F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K1</w:t>
            </w:r>
          </w:p>
        </w:tc>
        <w:tc>
          <w:tcPr>
            <w:tcW w:w="1980" w:type="dxa"/>
          </w:tcPr>
          <w:p w:rsidR="000652EE" w:rsidRDefault="000652EE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0652EE" w:rsidRPr="005446FE" w:rsidTr="000652EE">
        <w:tc>
          <w:tcPr>
            <w:tcW w:w="4945" w:type="dxa"/>
          </w:tcPr>
          <w:p w:rsidR="000652EE" w:rsidRPr="007F3B12" w:rsidRDefault="00173FC2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/>
                <w:sz w:val="20"/>
                <w:szCs w:val="20"/>
              </w:rPr>
              <w:t>FOP – Assistant Regional Supervisor Lodge 114, Fish and Boat Commission</w:t>
            </w:r>
          </w:p>
        </w:tc>
        <w:tc>
          <w:tcPr>
            <w:tcW w:w="2340" w:type="dxa"/>
          </w:tcPr>
          <w:p w:rsidR="000652EE" w:rsidRPr="007F3B12" w:rsidRDefault="00173FC2" w:rsidP="005446F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K2</w:t>
            </w:r>
          </w:p>
        </w:tc>
        <w:tc>
          <w:tcPr>
            <w:tcW w:w="1980" w:type="dxa"/>
          </w:tcPr>
          <w:p w:rsidR="000652EE" w:rsidRDefault="000652EE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PLEA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K4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ALES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K5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173FC2" w:rsidRPr="005446FE" w:rsidTr="000652EE">
        <w:tc>
          <w:tcPr>
            <w:tcW w:w="4945" w:type="dxa"/>
          </w:tcPr>
          <w:p w:rsidR="00173FC2" w:rsidRPr="007F3B12" w:rsidRDefault="00173FC2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F33355">
              <w:rPr>
                <w:rFonts w:ascii="Verdana" w:hAnsi="Verdana" w:cs="Verdana"/>
                <w:sz w:val="20"/>
                <w:szCs w:val="20"/>
              </w:rPr>
              <w:t>FOP – Conservation Police Officers Lodge 114, Game Commission Act 111 Unit</w:t>
            </w:r>
          </w:p>
        </w:tc>
        <w:tc>
          <w:tcPr>
            <w:tcW w:w="2340" w:type="dxa"/>
          </w:tcPr>
          <w:p w:rsidR="00173FC2" w:rsidRPr="007F3B12" w:rsidRDefault="00173FC2" w:rsidP="005446F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K8</w:t>
            </w:r>
          </w:p>
        </w:tc>
        <w:tc>
          <w:tcPr>
            <w:tcW w:w="1980" w:type="dxa"/>
          </w:tcPr>
          <w:p w:rsidR="00173FC2" w:rsidRDefault="00C46CB9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UFCW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M1, M7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ISSU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M2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SEIU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Pr="007F3B12">
              <w:rPr>
                <w:rFonts w:ascii="Verdana" w:hAnsi="Verdana" w:cs="Verdana"/>
                <w:sz w:val="20"/>
                <w:szCs w:val="20"/>
              </w:rPr>
              <w:t>Healthcare PA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P4, P7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OPEIU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Healthcare PA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PSEA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  <w:tr w:rsidR="005446FE" w:rsidRPr="005446FE" w:rsidTr="000652EE">
        <w:tc>
          <w:tcPr>
            <w:tcW w:w="4945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CBA</w:t>
            </w:r>
          </w:p>
        </w:tc>
        <w:tc>
          <w:tcPr>
            <w:tcW w:w="2340" w:type="dxa"/>
          </w:tcPr>
          <w:p w:rsidR="005446FE" w:rsidRPr="007F3B12" w:rsidRDefault="005446FE" w:rsidP="005446FE">
            <w:pPr>
              <w:rPr>
                <w:rFonts w:ascii="Verdana" w:hAnsi="Verdana" w:cs="Verdana"/>
                <w:sz w:val="20"/>
                <w:szCs w:val="20"/>
              </w:rPr>
            </w:pPr>
            <w:r w:rsidRPr="007F3B12">
              <w:rPr>
                <w:rFonts w:ascii="Verdana" w:hAnsi="Verdana" w:cs="Verdana"/>
                <w:sz w:val="20"/>
                <w:szCs w:val="20"/>
              </w:rPr>
              <w:t>Z4</w:t>
            </w:r>
          </w:p>
        </w:tc>
        <w:tc>
          <w:tcPr>
            <w:tcW w:w="1980" w:type="dxa"/>
          </w:tcPr>
          <w:p w:rsidR="005446FE" w:rsidRPr="005446FE" w:rsidRDefault="001F785C" w:rsidP="00B64EE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06/30/2016</w:t>
            </w:r>
          </w:p>
        </w:tc>
      </w:tr>
    </w:tbl>
    <w:p w:rsidR="000D13C0" w:rsidRDefault="000D13C0" w:rsidP="009C625C">
      <w:pPr>
        <w:rPr>
          <w:rFonts w:ascii="Verdana" w:hAnsi="Verdana" w:cs="Verdana"/>
          <w:b/>
          <w:sz w:val="20"/>
          <w:szCs w:val="20"/>
        </w:rPr>
      </w:pPr>
    </w:p>
    <w:p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D2D2531E64FA4874B73324E7A52C31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42C0">
            <w:rPr>
              <w:rFonts w:ascii="Verdana" w:hAnsi="Verdana" w:cs="Verdana"/>
              <w:sz w:val="20"/>
              <w:szCs w:val="20"/>
            </w:rPr>
            <w:t>AFSCME General Pay Increase and Pay Freeze Actions</w:t>
          </w:r>
        </w:sdtContent>
      </w:sdt>
      <w:r w:rsidRPr="001A3CC7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9561C3" w:rsidRPr="001A3CC7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1A3CC7">
        <w:rPr>
          <w:rFonts w:ascii="Verdana" w:hAnsi="Verdana" w:cs="Verdana"/>
          <w:sz w:val="20"/>
          <w:szCs w:val="20"/>
        </w:rPr>
        <w:t xml:space="preserve"> in the </w:t>
      </w:r>
      <w:r w:rsidR="00175C94" w:rsidRPr="001A3CC7">
        <w:rPr>
          <w:rFonts w:ascii="Verdana" w:hAnsi="Verdana" w:cs="Verdana"/>
          <w:sz w:val="20"/>
          <w:szCs w:val="20"/>
        </w:rPr>
        <w:t>personnel administration</w:t>
      </w:r>
      <w:r w:rsidRPr="001A3CC7">
        <w:rPr>
          <w:rFonts w:ascii="Verdana" w:hAnsi="Verdana" w:cs="Verdana"/>
          <w:sz w:val="20"/>
          <w:szCs w:val="20"/>
        </w:rPr>
        <w:t xml:space="preserve"> category.</w:t>
      </w:r>
      <w:r w:rsidR="00685856"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="00685856" w:rsidRPr="001A3CC7">
        <w:rPr>
          <w:rFonts w:ascii="Verdana" w:hAnsi="Verdana" w:cs="Verdana"/>
          <w:sz w:val="20"/>
          <w:szCs w:val="20"/>
        </w:rPr>
        <w:t>You may also call t</w:t>
      </w:r>
      <w:bookmarkStart w:id="0" w:name="_GoBack"/>
      <w:bookmarkEnd w:id="0"/>
      <w:r w:rsidR="00685856" w:rsidRPr="001A3CC7">
        <w:rPr>
          <w:rFonts w:ascii="Verdana" w:hAnsi="Verdana" w:cs="Verdana"/>
          <w:sz w:val="20"/>
          <w:szCs w:val="20"/>
        </w:rPr>
        <w:t xml:space="preserve">he HR Service Center, Agency Services </w:t>
      </w:r>
      <w:r w:rsidR="00996D54" w:rsidRPr="001A3CC7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1A3CC7">
        <w:rPr>
          <w:rFonts w:ascii="Verdana" w:hAnsi="Verdana" w:cs="Verdana"/>
          <w:sz w:val="20"/>
          <w:szCs w:val="20"/>
        </w:rPr>
        <w:t>Di</w:t>
      </w:r>
      <w:r w:rsidR="00175C94" w:rsidRPr="001A3CC7">
        <w:rPr>
          <w:rFonts w:ascii="Verdana" w:hAnsi="Verdana" w:cs="Verdana"/>
          <w:sz w:val="20"/>
          <w:szCs w:val="20"/>
        </w:rPr>
        <w:t>vision at 877.242.6007</w:t>
      </w:r>
      <w:r w:rsidR="00685856" w:rsidRPr="001A3CC7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1A3CC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36" w:rsidRDefault="00303636">
      <w:r>
        <w:separator/>
      </w:r>
    </w:p>
  </w:endnote>
  <w:endnote w:type="continuationSeparator" w:id="0">
    <w:p w:rsidR="00303636" w:rsidRDefault="0030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6373D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36" w:rsidRDefault="00303636">
      <w:r>
        <w:separator/>
      </w:r>
    </w:p>
  </w:footnote>
  <w:footnote w:type="continuationSeparator" w:id="0">
    <w:p w:rsidR="00303636" w:rsidRDefault="0030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903F3" w:rsidRPr="009C625C" w:rsidRDefault="0026373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E7D79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6-</w:t>
        </w:r>
        <w:r w:rsidR="00B3348D">
          <w:rPr>
            <w:rFonts w:ascii="Verdana" w:hAnsi="Verdana" w:cs="Arial"/>
            <w:b/>
            <w:bCs/>
            <w:sz w:val="28"/>
            <w:szCs w:val="28"/>
          </w:rPr>
          <w:t>10</w:t>
        </w:r>
      </w:sdtContent>
    </w:sdt>
  </w:p>
  <w:p w:rsidR="008B06FB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B3348D">
      <w:rPr>
        <w:rFonts w:ascii="Verdana" w:hAnsi="Verdana" w:cs="Arial"/>
        <w:sz w:val="20"/>
        <w:szCs w:val="20"/>
      </w:rPr>
      <w:t>09.29.2016</w:t>
    </w:r>
  </w:p>
  <w:p w:rsidR="00B3348D" w:rsidRPr="00B00AE6" w:rsidRDefault="00B3348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35"/>
  </w:num>
  <w:num w:numId="5">
    <w:abstractNumId w:val="37"/>
  </w:num>
  <w:num w:numId="6">
    <w:abstractNumId w:val="31"/>
  </w:num>
  <w:num w:numId="7">
    <w:abstractNumId w:val="14"/>
  </w:num>
  <w:num w:numId="8">
    <w:abstractNumId w:val="36"/>
  </w:num>
  <w:num w:numId="9">
    <w:abstractNumId w:val="6"/>
  </w:num>
  <w:num w:numId="10">
    <w:abstractNumId w:val="24"/>
  </w:num>
  <w:num w:numId="11">
    <w:abstractNumId w:val="12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7"/>
  </w:num>
  <w:num w:numId="19">
    <w:abstractNumId w:val="41"/>
  </w:num>
  <w:num w:numId="20">
    <w:abstractNumId w:val="1"/>
  </w:num>
  <w:num w:numId="21">
    <w:abstractNumId w:val="4"/>
  </w:num>
  <w:num w:numId="22">
    <w:abstractNumId w:val="21"/>
  </w:num>
  <w:num w:numId="23">
    <w:abstractNumId w:val="29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17"/>
  </w:num>
  <w:num w:numId="28">
    <w:abstractNumId w:val="10"/>
  </w:num>
  <w:num w:numId="29">
    <w:abstractNumId w:val="20"/>
  </w:num>
  <w:num w:numId="30">
    <w:abstractNumId w:val="26"/>
  </w:num>
  <w:num w:numId="31">
    <w:abstractNumId w:val="39"/>
  </w:num>
  <w:num w:numId="32">
    <w:abstractNumId w:val="5"/>
  </w:num>
  <w:num w:numId="33">
    <w:abstractNumId w:val="18"/>
  </w:num>
  <w:num w:numId="34">
    <w:abstractNumId w:val="19"/>
  </w:num>
  <w:num w:numId="35">
    <w:abstractNumId w:val="34"/>
  </w:num>
  <w:num w:numId="36">
    <w:abstractNumId w:val="32"/>
  </w:num>
  <w:num w:numId="37">
    <w:abstractNumId w:val="28"/>
  </w:num>
  <w:num w:numId="38">
    <w:abstractNumId w:val="22"/>
  </w:num>
  <w:num w:numId="39">
    <w:abstractNumId w:val="33"/>
  </w:num>
  <w:num w:numId="40">
    <w:abstractNumId w:val="16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F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37690"/>
    <w:rsid w:val="00041A44"/>
    <w:rsid w:val="00057026"/>
    <w:rsid w:val="0006181E"/>
    <w:rsid w:val="00064224"/>
    <w:rsid w:val="000652EE"/>
    <w:rsid w:val="000677CE"/>
    <w:rsid w:val="000720FA"/>
    <w:rsid w:val="00076D45"/>
    <w:rsid w:val="00083E21"/>
    <w:rsid w:val="000973C3"/>
    <w:rsid w:val="000A0B0D"/>
    <w:rsid w:val="000B1875"/>
    <w:rsid w:val="000C50DA"/>
    <w:rsid w:val="000C5290"/>
    <w:rsid w:val="000C7503"/>
    <w:rsid w:val="000D1069"/>
    <w:rsid w:val="000D13C0"/>
    <w:rsid w:val="000D78CE"/>
    <w:rsid w:val="000E4D76"/>
    <w:rsid w:val="000E559E"/>
    <w:rsid w:val="001045CD"/>
    <w:rsid w:val="00106466"/>
    <w:rsid w:val="001100AB"/>
    <w:rsid w:val="0011336B"/>
    <w:rsid w:val="00123562"/>
    <w:rsid w:val="00124D9C"/>
    <w:rsid w:val="0013220F"/>
    <w:rsid w:val="00135131"/>
    <w:rsid w:val="00142029"/>
    <w:rsid w:val="001541A0"/>
    <w:rsid w:val="001577EF"/>
    <w:rsid w:val="00163F86"/>
    <w:rsid w:val="00173FC2"/>
    <w:rsid w:val="00175C94"/>
    <w:rsid w:val="00183489"/>
    <w:rsid w:val="00183DED"/>
    <w:rsid w:val="0019400E"/>
    <w:rsid w:val="00194A4D"/>
    <w:rsid w:val="00194B6C"/>
    <w:rsid w:val="001A0C6B"/>
    <w:rsid w:val="001A3CC7"/>
    <w:rsid w:val="001A5F3C"/>
    <w:rsid w:val="001A744A"/>
    <w:rsid w:val="001B1050"/>
    <w:rsid w:val="001B2259"/>
    <w:rsid w:val="001B23A2"/>
    <w:rsid w:val="001B3B1F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85C"/>
    <w:rsid w:val="00202827"/>
    <w:rsid w:val="00204216"/>
    <w:rsid w:val="00204AB0"/>
    <w:rsid w:val="002069E6"/>
    <w:rsid w:val="002076B3"/>
    <w:rsid w:val="002277C4"/>
    <w:rsid w:val="00232887"/>
    <w:rsid w:val="00233C2C"/>
    <w:rsid w:val="00234CD2"/>
    <w:rsid w:val="002409B3"/>
    <w:rsid w:val="00246EF1"/>
    <w:rsid w:val="00254ADC"/>
    <w:rsid w:val="00254EAB"/>
    <w:rsid w:val="00261AF4"/>
    <w:rsid w:val="00262C4D"/>
    <w:rsid w:val="0026373D"/>
    <w:rsid w:val="00263886"/>
    <w:rsid w:val="00264401"/>
    <w:rsid w:val="0026477D"/>
    <w:rsid w:val="002667A3"/>
    <w:rsid w:val="0027167D"/>
    <w:rsid w:val="00273B57"/>
    <w:rsid w:val="00273E44"/>
    <w:rsid w:val="00274580"/>
    <w:rsid w:val="00275752"/>
    <w:rsid w:val="00282DAC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303636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547F"/>
    <w:rsid w:val="00361084"/>
    <w:rsid w:val="003614B0"/>
    <w:rsid w:val="003620B7"/>
    <w:rsid w:val="00363E80"/>
    <w:rsid w:val="003653FD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43C1"/>
    <w:rsid w:val="003E6AA2"/>
    <w:rsid w:val="003E7B05"/>
    <w:rsid w:val="003F1703"/>
    <w:rsid w:val="003F28EF"/>
    <w:rsid w:val="003F45B6"/>
    <w:rsid w:val="003F7CB5"/>
    <w:rsid w:val="00400ED8"/>
    <w:rsid w:val="00402340"/>
    <w:rsid w:val="004042C0"/>
    <w:rsid w:val="00406094"/>
    <w:rsid w:val="00412D1B"/>
    <w:rsid w:val="00413AF7"/>
    <w:rsid w:val="0041651C"/>
    <w:rsid w:val="00420283"/>
    <w:rsid w:val="004231E8"/>
    <w:rsid w:val="004255E3"/>
    <w:rsid w:val="004275D5"/>
    <w:rsid w:val="004277DA"/>
    <w:rsid w:val="00431645"/>
    <w:rsid w:val="00436A3D"/>
    <w:rsid w:val="004509AD"/>
    <w:rsid w:val="004646C7"/>
    <w:rsid w:val="00467467"/>
    <w:rsid w:val="00470255"/>
    <w:rsid w:val="00472D0E"/>
    <w:rsid w:val="00473681"/>
    <w:rsid w:val="0047413A"/>
    <w:rsid w:val="0047724A"/>
    <w:rsid w:val="004821A6"/>
    <w:rsid w:val="00485755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8D"/>
    <w:rsid w:val="00526EB1"/>
    <w:rsid w:val="00531D0D"/>
    <w:rsid w:val="00533872"/>
    <w:rsid w:val="00535B05"/>
    <w:rsid w:val="005410A6"/>
    <w:rsid w:val="005420FE"/>
    <w:rsid w:val="00542143"/>
    <w:rsid w:val="0054277B"/>
    <w:rsid w:val="005446FE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4D"/>
    <w:rsid w:val="00590BC7"/>
    <w:rsid w:val="005A4801"/>
    <w:rsid w:val="005A60D1"/>
    <w:rsid w:val="005A65DD"/>
    <w:rsid w:val="005B3308"/>
    <w:rsid w:val="005B34D7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5AA4"/>
    <w:rsid w:val="006560FB"/>
    <w:rsid w:val="0066495F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E99"/>
    <w:rsid w:val="00692132"/>
    <w:rsid w:val="00692502"/>
    <w:rsid w:val="00695FD1"/>
    <w:rsid w:val="006A226E"/>
    <w:rsid w:val="006A62D1"/>
    <w:rsid w:val="006A79F6"/>
    <w:rsid w:val="006B5A56"/>
    <w:rsid w:val="006B7BD6"/>
    <w:rsid w:val="006C05AB"/>
    <w:rsid w:val="006C1E14"/>
    <w:rsid w:val="006C3972"/>
    <w:rsid w:val="006C6110"/>
    <w:rsid w:val="006D3964"/>
    <w:rsid w:val="006D7B98"/>
    <w:rsid w:val="006E301A"/>
    <w:rsid w:val="006E3735"/>
    <w:rsid w:val="006F085B"/>
    <w:rsid w:val="006F1BC4"/>
    <w:rsid w:val="006F7B2C"/>
    <w:rsid w:val="007008F5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1D8D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9D9"/>
    <w:rsid w:val="007E739C"/>
    <w:rsid w:val="007F0EDA"/>
    <w:rsid w:val="007F2947"/>
    <w:rsid w:val="008005DD"/>
    <w:rsid w:val="008049AD"/>
    <w:rsid w:val="00825BAC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5E95"/>
    <w:rsid w:val="00887E10"/>
    <w:rsid w:val="008910AD"/>
    <w:rsid w:val="008918A1"/>
    <w:rsid w:val="00892D7C"/>
    <w:rsid w:val="008A1420"/>
    <w:rsid w:val="008B06FB"/>
    <w:rsid w:val="008B477C"/>
    <w:rsid w:val="008B5463"/>
    <w:rsid w:val="008C2222"/>
    <w:rsid w:val="008C274E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20360"/>
    <w:rsid w:val="00930DF2"/>
    <w:rsid w:val="0093284C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70B6"/>
    <w:rsid w:val="00993BB1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E4F57"/>
    <w:rsid w:val="009F0815"/>
    <w:rsid w:val="00A02DBA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82449"/>
    <w:rsid w:val="00A8498C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1B9B"/>
    <w:rsid w:val="00B32B2C"/>
    <w:rsid w:val="00B3324C"/>
    <w:rsid w:val="00B3348D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4EED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6D8E"/>
    <w:rsid w:val="00C26F35"/>
    <w:rsid w:val="00C30A1E"/>
    <w:rsid w:val="00C33101"/>
    <w:rsid w:val="00C37219"/>
    <w:rsid w:val="00C37928"/>
    <w:rsid w:val="00C45B7D"/>
    <w:rsid w:val="00C46CB9"/>
    <w:rsid w:val="00C50DD6"/>
    <w:rsid w:val="00C5303C"/>
    <w:rsid w:val="00C54480"/>
    <w:rsid w:val="00C5464A"/>
    <w:rsid w:val="00C60DE5"/>
    <w:rsid w:val="00C62637"/>
    <w:rsid w:val="00C701AC"/>
    <w:rsid w:val="00C75B10"/>
    <w:rsid w:val="00C7698B"/>
    <w:rsid w:val="00C7709E"/>
    <w:rsid w:val="00C85091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3548C"/>
    <w:rsid w:val="00D403C3"/>
    <w:rsid w:val="00D52F2E"/>
    <w:rsid w:val="00D60B31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679F"/>
    <w:rsid w:val="00DE697D"/>
    <w:rsid w:val="00DF4D1A"/>
    <w:rsid w:val="00DF65DF"/>
    <w:rsid w:val="00E07300"/>
    <w:rsid w:val="00E1258F"/>
    <w:rsid w:val="00E15F7F"/>
    <w:rsid w:val="00E16248"/>
    <w:rsid w:val="00E23F71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6507"/>
    <w:rsid w:val="00E6272A"/>
    <w:rsid w:val="00E63720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B01D7"/>
    <w:rsid w:val="00EB1FA1"/>
    <w:rsid w:val="00EB4892"/>
    <w:rsid w:val="00EC04F8"/>
    <w:rsid w:val="00ED2E05"/>
    <w:rsid w:val="00ED5D52"/>
    <w:rsid w:val="00EE0BBB"/>
    <w:rsid w:val="00EE14CE"/>
    <w:rsid w:val="00EE3EF3"/>
    <w:rsid w:val="00EE4243"/>
    <w:rsid w:val="00EE5E68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3684C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3D6C"/>
    <w:rsid w:val="00FB686B"/>
    <w:rsid w:val="00FC023A"/>
    <w:rsid w:val="00FC7275"/>
    <w:rsid w:val="00FD1180"/>
    <w:rsid w:val="00FD7412"/>
    <w:rsid w:val="00FE7D79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oa.pa.gov/class-comp/Documents/paysched-standard-st-2014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hrm.oa.pa.gov/_layouts/download.aspx?SourceUrl=http://www.hrm.oa.pa.gov/Alerts-and-Transactions/Documents/Pers%20Admin%20Alerts/PA_Alert_2016_09_ST_Schedule_Pay_Freeze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2D2531E64FA4874B73324E7A52C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D77A-CB6A-4042-B0E9-FF93AF15D36B}"/>
      </w:docPartPr>
      <w:docPartBody>
        <w:p w:rsidR="00174E03" w:rsidRDefault="00174E03">
          <w:pPr>
            <w:pStyle w:val="D2D2531E64FA4874B73324E7A52C310A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3"/>
    <w:rsid w:val="00174E03"/>
    <w:rsid w:val="003631F9"/>
    <w:rsid w:val="008B73F2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D2D2531E64FA4874B73324E7A52C310A">
    <w:name w:val="D2D2531E64FA4874B73324E7A52C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DFF8E7-4B1C-4922-94CF-700FB9A33528}"/>
</file>

<file path=customXml/itemProps2.xml><?xml version="1.0" encoding="utf-8"?>
<ds:datastoreItem xmlns:ds="http://schemas.openxmlformats.org/officeDocument/2006/customXml" ds:itemID="{3389C499-4CAB-487A-8130-6801A1AF6961}"/>
</file>

<file path=customXml/itemProps3.xml><?xml version="1.0" encoding="utf-8"?>
<ds:datastoreItem xmlns:ds="http://schemas.openxmlformats.org/officeDocument/2006/customXml" ds:itemID="{2CA86FA0-1072-4CDA-BBF2-67F8F70FEDDC}"/>
</file>

<file path=customXml/itemProps4.xml><?xml version="1.0" encoding="utf-8"?>
<ds:datastoreItem xmlns:ds="http://schemas.openxmlformats.org/officeDocument/2006/customXml" ds:itemID="{7A4616E5-6AE1-4F28-B0FF-75200F616F93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1</TotalTime>
  <Pages>2</Pages>
  <Words>538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 General Pay Increase and Pay Freeze Actions</vt:lpstr>
    </vt:vector>
  </TitlesOfParts>
  <Company>Office of Administration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 General Pay Increase and Pay Freeze Actions</dc:title>
  <dc:subject>Information regarding the AFSCME October 1, 2016 General Pay Increase and Union Pay Freeze Actions</dc:subject>
  <dc:creator>Rummel, Jordan</dc:creator>
  <cp:keywords>Description, Keywords, Operations, Personnel Administration</cp:keywords>
  <dc:description/>
  <cp:lastModifiedBy>Carroll, Theresa (OA)</cp:lastModifiedBy>
  <cp:revision>3</cp:revision>
  <cp:lastPrinted>2011-02-25T13:44:00Z</cp:lastPrinted>
  <dcterms:created xsi:type="dcterms:W3CDTF">2016-09-29T17:45:00Z</dcterms:created>
  <dcterms:modified xsi:type="dcterms:W3CDTF">2016-09-29T17:45:00Z</dcterms:modified>
  <cp:category>Personnel Administration Alert</cp:category>
  <cp:contentStatus>2016-10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