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965FDE">
        <w:rPr>
          <w:rFonts w:ascii="Verdana" w:hAnsi="Verdana" w:cs="Verdana"/>
          <w:b/>
          <w:bCs/>
          <w:i/>
          <w:iCs/>
          <w:sz w:val="20"/>
          <w:szCs w:val="20"/>
        </w:rPr>
        <w:t xml:space="preserve">benefit </w:t>
      </w:r>
      <w:r w:rsidR="00402295">
        <w:rPr>
          <w:rFonts w:ascii="Verdana" w:hAnsi="Verdana" w:cs="Verdana"/>
          <w:b/>
          <w:bCs/>
          <w:i/>
          <w:iCs/>
          <w:sz w:val="20"/>
          <w:szCs w:val="20"/>
        </w:rPr>
        <w:t>programs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307AFD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78F8BAC4009640BEB4EE3AE6FE42D4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5597A">
            <w:rPr>
              <w:rFonts w:ascii="Verdana" w:hAnsi="Verdana" w:cs="Verdana"/>
              <w:b/>
              <w:sz w:val="20"/>
              <w:szCs w:val="20"/>
            </w:rPr>
            <w:t>PA ABLE – A New Treasury Sponsored program</w:t>
          </w:r>
        </w:sdtContent>
      </w:sdt>
      <w:r w:rsidR="00377242" w:rsidRPr="00870071">
        <w:rPr>
          <w:rFonts w:ascii="Verdana" w:hAnsi="Verdana" w:cs="Verdana"/>
          <w:b/>
          <w:sz w:val="20"/>
          <w:szCs w:val="20"/>
        </w:rPr>
        <w:t> 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307AF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4F7A820F54F14E50AD361CC553B4094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30ECA">
            <w:rPr>
              <w:rFonts w:ascii="Verdana" w:hAnsi="Verdana" w:cs="Verdana"/>
              <w:sz w:val="20"/>
              <w:szCs w:val="20"/>
            </w:rPr>
            <w:t>Information regarding PA A</w:t>
          </w:r>
          <w:r w:rsidR="0045597A">
            <w:rPr>
              <w:rFonts w:ascii="Verdana" w:hAnsi="Verdana" w:cs="Verdana"/>
              <w:sz w:val="20"/>
              <w:szCs w:val="20"/>
            </w:rPr>
            <w:t>BLE</w:t>
          </w:r>
          <w:r w:rsidR="00C30ECA">
            <w:rPr>
              <w:rFonts w:ascii="Verdana" w:hAnsi="Verdana" w:cs="Verdana"/>
              <w:sz w:val="20"/>
              <w:szCs w:val="20"/>
            </w:rPr>
            <w:t>, a new Treasury sponsored program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7D08B4" w:rsidRDefault="005837E2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Treasury is sponsoring a new </w:t>
      </w:r>
      <w:r w:rsidR="006E6ED3">
        <w:rPr>
          <w:rFonts w:ascii="Verdana" w:hAnsi="Verdana" w:cs="Verdana"/>
          <w:sz w:val="20"/>
          <w:szCs w:val="20"/>
        </w:rPr>
        <w:t xml:space="preserve">program called </w:t>
      </w:r>
      <w:hyperlink r:id="rId8" w:history="1">
        <w:r w:rsidR="006E6ED3" w:rsidRPr="00402295">
          <w:rPr>
            <w:rStyle w:val="Hyperlink"/>
            <w:rFonts w:ascii="Verdana" w:hAnsi="Verdana" w:cs="Verdana"/>
            <w:sz w:val="20"/>
            <w:szCs w:val="20"/>
          </w:rPr>
          <w:t>PA</w:t>
        </w:r>
        <w:r w:rsidR="00045ADA" w:rsidRPr="00402295">
          <w:rPr>
            <w:rStyle w:val="Hyperlink"/>
            <w:rFonts w:ascii="Verdana" w:hAnsi="Verdana" w:cs="Verdana"/>
            <w:sz w:val="20"/>
            <w:szCs w:val="20"/>
          </w:rPr>
          <w:t xml:space="preserve"> </w:t>
        </w:r>
        <w:r w:rsidRPr="00402295">
          <w:rPr>
            <w:rStyle w:val="Hyperlink"/>
            <w:rFonts w:ascii="Verdana" w:hAnsi="Verdana" w:cs="Verdana"/>
            <w:sz w:val="20"/>
            <w:szCs w:val="20"/>
          </w:rPr>
          <w:t>ABLE</w:t>
        </w:r>
      </w:hyperlink>
      <w:r w:rsidR="007D08B4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  <w:r w:rsidR="007D08B4">
        <w:rPr>
          <w:rFonts w:ascii="Verdana" w:hAnsi="Verdana" w:cs="Verdana"/>
          <w:sz w:val="20"/>
          <w:szCs w:val="20"/>
        </w:rPr>
        <w:t>A PA A</w:t>
      </w:r>
      <w:r w:rsidR="0045597A">
        <w:rPr>
          <w:rFonts w:ascii="Verdana" w:hAnsi="Verdana" w:cs="Verdana"/>
          <w:sz w:val="20"/>
          <w:szCs w:val="20"/>
        </w:rPr>
        <w:t>BLE</w:t>
      </w:r>
      <w:r w:rsidR="007D08B4">
        <w:rPr>
          <w:rFonts w:ascii="Verdana" w:hAnsi="Verdana" w:cs="Verdana"/>
          <w:sz w:val="20"/>
          <w:szCs w:val="20"/>
        </w:rPr>
        <w:t xml:space="preserve"> account gives individuals with qualified disabilities, and their families and friends, a tax-free way to save for disability related expenses, while maintaining government benefits.  </w:t>
      </w:r>
    </w:p>
    <w:p w:rsidR="007D08B4" w:rsidRDefault="007D08B4" w:rsidP="00E56507">
      <w:pPr>
        <w:rPr>
          <w:rFonts w:ascii="Verdana" w:hAnsi="Verdana" w:cs="Verdana"/>
          <w:sz w:val="20"/>
          <w:szCs w:val="20"/>
        </w:rPr>
      </w:pPr>
    </w:p>
    <w:p w:rsidR="006E6ED3" w:rsidRDefault="006E6ED3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enroll in the program, an employee must first set up an account with Treasury</w:t>
      </w:r>
      <w:r w:rsidR="002E0768">
        <w:rPr>
          <w:rFonts w:ascii="Verdana" w:hAnsi="Verdana" w:cs="Verdana"/>
          <w:sz w:val="20"/>
          <w:szCs w:val="20"/>
        </w:rPr>
        <w:t xml:space="preserve"> by</w:t>
      </w:r>
      <w:r>
        <w:rPr>
          <w:rFonts w:ascii="Verdana" w:hAnsi="Verdana" w:cs="Verdana"/>
          <w:sz w:val="20"/>
          <w:szCs w:val="20"/>
        </w:rPr>
        <w:t xml:space="preserve"> either conta</w:t>
      </w:r>
      <w:r w:rsidR="002E0768">
        <w:rPr>
          <w:rFonts w:ascii="Verdana" w:hAnsi="Verdana" w:cs="Verdana"/>
          <w:sz w:val="20"/>
          <w:szCs w:val="20"/>
        </w:rPr>
        <w:t>cti</w:t>
      </w:r>
      <w:r w:rsidR="008364AA">
        <w:rPr>
          <w:rFonts w:ascii="Verdana" w:hAnsi="Verdana" w:cs="Verdana"/>
          <w:sz w:val="20"/>
          <w:szCs w:val="20"/>
        </w:rPr>
        <w:t>ng Treasury directly or register</w:t>
      </w:r>
      <w:r w:rsidR="00AC7853">
        <w:rPr>
          <w:rFonts w:ascii="Verdana" w:hAnsi="Verdana" w:cs="Verdana"/>
          <w:sz w:val="20"/>
          <w:szCs w:val="20"/>
        </w:rPr>
        <w:t>ing</w:t>
      </w:r>
      <w:r w:rsidR="008364AA">
        <w:rPr>
          <w:rFonts w:ascii="Verdana" w:hAnsi="Verdana" w:cs="Verdana"/>
          <w:sz w:val="20"/>
          <w:szCs w:val="20"/>
        </w:rPr>
        <w:t xml:space="preserve"> for the program via Treasury’s website </w:t>
      </w:r>
      <w:hyperlink r:id="rId9" w:history="1">
        <w:r w:rsidR="0045597A" w:rsidRPr="003E25FC">
          <w:rPr>
            <w:rStyle w:val="Hyperlink"/>
            <w:rFonts w:ascii="Verdana" w:hAnsi="Verdana" w:cs="Verdana"/>
            <w:sz w:val="20"/>
            <w:szCs w:val="20"/>
          </w:rPr>
          <w:t>http://www.paable.gov/</w:t>
        </w:r>
      </w:hyperlink>
      <w:r w:rsidR="008364AA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Once the employee has provided the required information</w:t>
      </w:r>
      <w:r w:rsidR="008364AA">
        <w:rPr>
          <w:rFonts w:ascii="Verdana" w:hAnsi="Verdana" w:cs="Verdana"/>
          <w:sz w:val="20"/>
          <w:szCs w:val="20"/>
        </w:rPr>
        <w:t xml:space="preserve"> to enroll in the program</w:t>
      </w:r>
      <w:r>
        <w:rPr>
          <w:rFonts w:ascii="Verdana" w:hAnsi="Verdana" w:cs="Verdana"/>
          <w:sz w:val="20"/>
          <w:szCs w:val="20"/>
        </w:rPr>
        <w:t xml:space="preserve">, the </w:t>
      </w:r>
      <w:r w:rsidR="000A387E">
        <w:rPr>
          <w:rFonts w:ascii="Verdana" w:hAnsi="Verdana" w:cs="Verdana"/>
          <w:sz w:val="20"/>
          <w:szCs w:val="20"/>
        </w:rPr>
        <w:t>employee will be issued a</w:t>
      </w:r>
      <w:r>
        <w:rPr>
          <w:rFonts w:ascii="Verdana" w:hAnsi="Verdana" w:cs="Verdana"/>
          <w:sz w:val="20"/>
          <w:szCs w:val="20"/>
        </w:rPr>
        <w:t xml:space="preserve"> bank account and routing number</w:t>
      </w:r>
      <w:r w:rsidR="000A387E">
        <w:rPr>
          <w:rFonts w:ascii="Verdana" w:hAnsi="Verdana" w:cs="Verdana"/>
          <w:sz w:val="20"/>
          <w:szCs w:val="20"/>
        </w:rPr>
        <w:t xml:space="preserve">.  This information </w:t>
      </w:r>
      <w:r w:rsidR="007D08B4">
        <w:rPr>
          <w:rFonts w:ascii="Verdana" w:hAnsi="Verdana" w:cs="Verdana"/>
          <w:sz w:val="20"/>
          <w:szCs w:val="20"/>
        </w:rPr>
        <w:t>will be used to set up</w:t>
      </w:r>
      <w:r w:rsidR="002E0768">
        <w:rPr>
          <w:rFonts w:ascii="Verdana" w:hAnsi="Verdana" w:cs="Verdana"/>
          <w:sz w:val="20"/>
          <w:szCs w:val="20"/>
        </w:rPr>
        <w:t xml:space="preserve"> the payroll deduction </w:t>
      </w:r>
      <w:r w:rsidR="00AC7853">
        <w:rPr>
          <w:rFonts w:ascii="Verdana" w:hAnsi="Verdana" w:cs="Verdana"/>
          <w:sz w:val="20"/>
          <w:szCs w:val="20"/>
        </w:rPr>
        <w:t>in SAP</w:t>
      </w:r>
      <w:r w:rsidR="000A387E">
        <w:rPr>
          <w:rFonts w:ascii="Verdana" w:hAnsi="Verdana" w:cs="Verdana"/>
          <w:sz w:val="20"/>
          <w:szCs w:val="20"/>
        </w:rPr>
        <w:t>.  The payroll deduction</w:t>
      </w:r>
      <w:r w:rsidR="002E0768">
        <w:rPr>
          <w:rFonts w:ascii="Verdana" w:hAnsi="Verdana" w:cs="Verdana"/>
          <w:sz w:val="20"/>
          <w:szCs w:val="20"/>
        </w:rPr>
        <w:t xml:space="preserve"> will appear on </w:t>
      </w:r>
      <w:proofErr w:type="spellStart"/>
      <w:r w:rsidR="002E0768">
        <w:rPr>
          <w:rFonts w:ascii="Verdana" w:hAnsi="Verdana" w:cs="Verdana"/>
          <w:sz w:val="20"/>
          <w:szCs w:val="20"/>
        </w:rPr>
        <w:t>infotype</w:t>
      </w:r>
      <w:proofErr w:type="spellEnd"/>
      <w:r w:rsidR="002E0768">
        <w:rPr>
          <w:rFonts w:ascii="Verdana" w:hAnsi="Verdana" w:cs="Verdana"/>
          <w:sz w:val="20"/>
          <w:szCs w:val="20"/>
        </w:rPr>
        <w:t xml:space="preserve"> 0009 – Bank Details</w:t>
      </w:r>
      <w:r>
        <w:rPr>
          <w:rFonts w:ascii="Verdana" w:hAnsi="Verdana" w:cs="Verdana"/>
          <w:sz w:val="20"/>
          <w:szCs w:val="20"/>
        </w:rPr>
        <w:t xml:space="preserve">.  </w:t>
      </w:r>
    </w:p>
    <w:p w:rsidR="006E6ED3" w:rsidRDefault="006E6ED3" w:rsidP="00E56507">
      <w:pPr>
        <w:rPr>
          <w:rFonts w:ascii="Verdana" w:hAnsi="Verdana" w:cs="Verdana"/>
          <w:sz w:val="20"/>
          <w:szCs w:val="20"/>
        </w:rPr>
      </w:pPr>
    </w:p>
    <w:p w:rsidR="002E0768" w:rsidRDefault="002E0768" w:rsidP="002E076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following options are available to </w:t>
      </w:r>
      <w:r w:rsidR="007D08B4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ommonwealth employees to create their payroll deduction for enrollment in the PA</w:t>
      </w:r>
      <w:r w:rsidR="007D08B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ABLE program:</w:t>
      </w:r>
    </w:p>
    <w:p w:rsidR="002E0768" w:rsidRDefault="002E0768" w:rsidP="002E0768">
      <w:pPr>
        <w:rPr>
          <w:rFonts w:ascii="Verdana" w:hAnsi="Verdana" w:cs="Verdana"/>
          <w:sz w:val="20"/>
          <w:szCs w:val="20"/>
        </w:rPr>
      </w:pPr>
    </w:p>
    <w:p w:rsidR="002E0768" w:rsidRDefault="000D6E6A" w:rsidP="002E0768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Create a new Other Bank account through </w:t>
      </w:r>
      <w:r w:rsidR="002E0768" w:rsidRPr="00142E0A">
        <w:rPr>
          <w:rFonts w:ascii="Verdana" w:hAnsi="Verdana" w:cs="Verdana"/>
          <w:sz w:val="20"/>
          <w:szCs w:val="20"/>
        </w:rPr>
        <w:t>Employee Self Service (</w:t>
      </w:r>
      <w:hyperlink r:id="rId10" w:history="1">
        <w:r w:rsidR="002E0768" w:rsidRPr="007D08B4">
          <w:rPr>
            <w:rStyle w:val="Hyperlink"/>
            <w:rFonts w:ascii="Verdana" w:hAnsi="Verdana" w:cs="Verdana"/>
            <w:sz w:val="20"/>
            <w:szCs w:val="20"/>
          </w:rPr>
          <w:t>ESS</w:t>
        </w:r>
      </w:hyperlink>
      <w:r w:rsidR="002E0768" w:rsidRPr="00142E0A">
        <w:rPr>
          <w:rFonts w:ascii="Verdana" w:hAnsi="Verdana" w:cs="Verdana"/>
          <w:sz w:val="20"/>
          <w:szCs w:val="20"/>
        </w:rPr>
        <w:t>)</w:t>
      </w:r>
    </w:p>
    <w:p w:rsidR="002E0768" w:rsidRDefault="002E0768" w:rsidP="002E0768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agencies serv</w:t>
      </w:r>
      <w:r w:rsidR="007D08B4"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z w:val="20"/>
          <w:szCs w:val="20"/>
        </w:rPr>
        <w:t xml:space="preserve"> by the HR Service Center, contact</w:t>
      </w:r>
      <w:r w:rsidRPr="00142E0A">
        <w:rPr>
          <w:rFonts w:ascii="Verdana" w:hAnsi="Verdana" w:cs="Verdana"/>
          <w:sz w:val="20"/>
          <w:szCs w:val="20"/>
        </w:rPr>
        <w:t xml:space="preserve"> the HR Service Center’s Employee Services Division </w:t>
      </w:r>
      <w:r w:rsidR="000D6E6A">
        <w:rPr>
          <w:rFonts w:ascii="Verdana" w:hAnsi="Verdana" w:cs="Verdana"/>
          <w:sz w:val="20"/>
          <w:szCs w:val="20"/>
        </w:rPr>
        <w:t>at</w:t>
      </w:r>
      <w:r w:rsidRPr="00142E0A">
        <w:rPr>
          <w:rFonts w:ascii="Verdana" w:hAnsi="Verdana" w:cs="Verdana"/>
          <w:sz w:val="20"/>
          <w:szCs w:val="20"/>
        </w:rPr>
        <w:t xml:space="preserve"> 8</w:t>
      </w:r>
      <w:r w:rsidR="00087AEB">
        <w:rPr>
          <w:rFonts w:ascii="Verdana" w:hAnsi="Verdana" w:cs="Verdana"/>
          <w:sz w:val="20"/>
          <w:szCs w:val="20"/>
        </w:rPr>
        <w:t>66</w:t>
      </w:r>
      <w:r w:rsidRPr="00142E0A">
        <w:rPr>
          <w:rFonts w:ascii="Verdana" w:hAnsi="Verdana" w:cs="Verdana"/>
          <w:sz w:val="20"/>
          <w:szCs w:val="20"/>
        </w:rPr>
        <w:t>.377.2672</w:t>
      </w:r>
      <w:r>
        <w:rPr>
          <w:rFonts w:ascii="Verdana" w:hAnsi="Verdana" w:cs="Verdana"/>
          <w:sz w:val="20"/>
          <w:szCs w:val="20"/>
        </w:rPr>
        <w:t xml:space="preserve"> or submit the required information</w:t>
      </w:r>
      <w:r w:rsidR="000A387E">
        <w:rPr>
          <w:rFonts w:ascii="Verdana" w:hAnsi="Verdana" w:cs="Verdana"/>
          <w:sz w:val="20"/>
          <w:szCs w:val="20"/>
        </w:rPr>
        <w:t xml:space="preserve"> to set up the payroll deduction</w:t>
      </w:r>
      <w:r>
        <w:rPr>
          <w:rFonts w:ascii="Verdana" w:hAnsi="Verdana" w:cs="Verdana"/>
          <w:sz w:val="20"/>
          <w:szCs w:val="20"/>
        </w:rPr>
        <w:t xml:space="preserve"> via fax </w:t>
      </w:r>
      <w:r w:rsidR="000D6E6A"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z w:val="20"/>
          <w:szCs w:val="20"/>
        </w:rPr>
        <w:t xml:space="preserve"> 717.425.7190</w:t>
      </w:r>
    </w:p>
    <w:p w:rsidR="002E0768" w:rsidRPr="000A4A82" w:rsidRDefault="002E0768" w:rsidP="002E0768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agencies not serv</w:t>
      </w:r>
      <w:r w:rsidR="007D08B4">
        <w:rPr>
          <w:rFonts w:ascii="Verdana" w:hAnsi="Verdana" w:cs="Verdana"/>
          <w:sz w:val="20"/>
          <w:szCs w:val="20"/>
        </w:rPr>
        <w:t>ed</w:t>
      </w:r>
      <w:r>
        <w:rPr>
          <w:rFonts w:ascii="Verdana" w:hAnsi="Verdana" w:cs="Verdana"/>
          <w:sz w:val="20"/>
          <w:szCs w:val="20"/>
        </w:rPr>
        <w:t xml:space="preserve"> by the HR Service Center, employees </w:t>
      </w:r>
      <w:r w:rsidR="007D08B4">
        <w:rPr>
          <w:rFonts w:ascii="Verdana" w:hAnsi="Verdana" w:cs="Verdana"/>
          <w:sz w:val="20"/>
          <w:szCs w:val="20"/>
        </w:rPr>
        <w:t>should</w:t>
      </w:r>
      <w:r>
        <w:rPr>
          <w:rFonts w:ascii="Verdana" w:hAnsi="Verdana" w:cs="Verdana"/>
          <w:sz w:val="20"/>
          <w:szCs w:val="20"/>
        </w:rPr>
        <w:t xml:space="preserve"> contact their Human Resource Office </w:t>
      </w:r>
    </w:p>
    <w:p w:rsidR="00377242" w:rsidRPr="009C1B31" w:rsidRDefault="00377242" w:rsidP="00E56507">
      <w:pPr>
        <w:rPr>
          <w:rFonts w:ascii="Verdana" w:hAnsi="Verdana" w:cs="Verdana"/>
          <w:sz w:val="20"/>
          <w:szCs w:val="20"/>
        </w:rPr>
      </w:pPr>
    </w:p>
    <w:p w:rsidR="00685856" w:rsidRDefault="000A387E" w:rsidP="006858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Users who </w:t>
      </w:r>
      <w:r w:rsidR="003504AF">
        <w:rPr>
          <w:rFonts w:ascii="Verdana" w:hAnsi="Verdana" w:cs="Verdana"/>
          <w:sz w:val="20"/>
          <w:szCs w:val="20"/>
        </w:rPr>
        <w:t xml:space="preserve">are </w:t>
      </w:r>
      <w:r w:rsidR="00C30ECA">
        <w:rPr>
          <w:rFonts w:ascii="Verdana" w:hAnsi="Verdana" w:cs="Verdana"/>
          <w:sz w:val="20"/>
          <w:szCs w:val="20"/>
        </w:rPr>
        <w:t xml:space="preserve">creating the </w:t>
      </w:r>
      <w:r>
        <w:rPr>
          <w:rFonts w:ascii="Verdana" w:hAnsi="Verdana" w:cs="Verdana"/>
          <w:sz w:val="20"/>
          <w:szCs w:val="20"/>
        </w:rPr>
        <w:t xml:space="preserve">payroll deduction in SAP should </w:t>
      </w:r>
      <w:r w:rsidR="00C30ECA">
        <w:rPr>
          <w:rFonts w:ascii="Verdana" w:hAnsi="Verdana" w:cs="Verdana"/>
          <w:sz w:val="20"/>
          <w:szCs w:val="20"/>
        </w:rPr>
        <w:t xml:space="preserve">follow the below </w:t>
      </w:r>
      <w:r>
        <w:rPr>
          <w:rFonts w:ascii="Verdana" w:hAnsi="Verdana" w:cs="Verdana"/>
          <w:sz w:val="20"/>
          <w:szCs w:val="20"/>
        </w:rPr>
        <w:t>steps:</w:t>
      </w:r>
    </w:p>
    <w:p w:rsidR="00EE34DE" w:rsidRDefault="00EE34D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Access </w:t>
      </w:r>
      <w:r w:rsidR="000A387E">
        <w:rPr>
          <w:rFonts w:ascii="Verdana" w:hAnsi="Verdana" w:cs="Verdana"/>
          <w:sz w:val="20"/>
          <w:szCs w:val="20"/>
        </w:rPr>
        <w:t xml:space="preserve">PA30 – Maintain </w:t>
      </w:r>
      <w:r>
        <w:rPr>
          <w:rFonts w:ascii="Verdana" w:hAnsi="Verdana" w:cs="Verdana"/>
          <w:sz w:val="20"/>
          <w:szCs w:val="20"/>
        </w:rPr>
        <w:t>HR Master Data</w:t>
      </w:r>
    </w:p>
    <w:p w:rsidR="000A387E" w:rsidRDefault="00EE34D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personnel number</w:t>
      </w:r>
      <w:r w:rsidR="000A387E">
        <w:rPr>
          <w:rFonts w:ascii="Verdana" w:hAnsi="Verdana" w:cs="Verdana"/>
          <w:sz w:val="20"/>
          <w:szCs w:val="20"/>
        </w:rPr>
        <w:t xml:space="preserve"> </w:t>
      </w:r>
    </w:p>
    <w:p w:rsidR="00EE34DE" w:rsidRDefault="00EE34D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start date</w:t>
      </w:r>
    </w:p>
    <w:p w:rsidR="00EE34DE" w:rsidRDefault="00EE34D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– enter “0009”</w:t>
      </w:r>
    </w:p>
    <w:p w:rsidR="00EE34DE" w:rsidRDefault="000A387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Select subtype </w:t>
      </w:r>
      <w:r w:rsidR="008364AA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1</w:t>
      </w:r>
      <w:r w:rsidR="008364AA">
        <w:rPr>
          <w:rFonts w:ascii="Verdana" w:hAnsi="Verdana" w:cs="Verdana"/>
          <w:sz w:val="20"/>
          <w:szCs w:val="20"/>
        </w:rPr>
        <w:t>”</w:t>
      </w:r>
      <w:r w:rsidR="00EE34DE">
        <w:rPr>
          <w:rFonts w:ascii="Verdana" w:hAnsi="Verdana" w:cs="Verdana"/>
          <w:sz w:val="20"/>
          <w:szCs w:val="20"/>
        </w:rPr>
        <w:t xml:space="preserve"> (</w:t>
      </w:r>
      <w:proofErr w:type="gramStart"/>
      <w:r w:rsidR="00EE34DE">
        <w:rPr>
          <w:rFonts w:ascii="Verdana" w:hAnsi="Verdana" w:cs="Verdana"/>
          <w:sz w:val="20"/>
          <w:szCs w:val="20"/>
        </w:rPr>
        <w:t>Other</w:t>
      </w:r>
      <w:proofErr w:type="gramEnd"/>
      <w:r w:rsidR="00EE34DE">
        <w:rPr>
          <w:rFonts w:ascii="Verdana" w:hAnsi="Verdana" w:cs="Verdana"/>
          <w:sz w:val="20"/>
          <w:szCs w:val="20"/>
        </w:rPr>
        <w:t xml:space="preserve"> Bank)</w:t>
      </w:r>
    </w:p>
    <w:p w:rsidR="000A387E" w:rsidRDefault="00EE34D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</w:t>
      </w:r>
      <w:r w:rsidR="000A387E">
        <w:rPr>
          <w:rFonts w:ascii="Verdana" w:hAnsi="Verdana" w:cs="Verdana"/>
          <w:sz w:val="20"/>
          <w:szCs w:val="20"/>
        </w:rPr>
        <w:t>elect the “Create” icon</w:t>
      </w:r>
    </w:p>
    <w:p w:rsidR="000A387E" w:rsidRDefault="000A387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“Bank Key” which is the routing number provided</w:t>
      </w:r>
    </w:p>
    <w:p w:rsidR="000A387E" w:rsidRDefault="000A387E" w:rsidP="000A387E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“Bank Account” which is the bank account provided</w:t>
      </w:r>
    </w:p>
    <w:p w:rsidR="00377242" w:rsidRDefault="000A387E" w:rsidP="00E56507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“01” </w:t>
      </w:r>
      <w:r w:rsidR="008364AA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checking</w:t>
      </w:r>
      <w:r w:rsidR="008364AA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as the bank control key</w:t>
      </w:r>
    </w:p>
    <w:p w:rsidR="00EE34DE" w:rsidRDefault="00EE34DE" w:rsidP="00E56507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Select “Green Check”</w:t>
      </w:r>
    </w:p>
    <w:p w:rsidR="000A387E" w:rsidRDefault="000A387E" w:rsidP="00E56507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Save</w:t>
      </w: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>If you have any questions regarding</w:t>
      </w:r>
      <w:r w:rsidR="008364AA">
        <w:rPr>
          <w:rFonts w:ascii="Verdana" w:hAnsi="Verdana" w:cs="Verdana"/>
          <w:sz w:val="20"/>
          <w:szCs w:val="20"/>
        </w:rPr>
        <w:t xml:space="preserve"> the processing of the payroll deduction for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50830A8CF5B5446A9F6A43D7A33096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5597A">
            <w:rPr>
              <w:rFonts w:ascii="Verdana" w:hAnsi="Verdana" w:cs="Verdana"/>
              <w:sz w:val="20"/>
              <w:szCs w:val="20"/>
            </w:rPr>
            <w:t>PA ABLE – A New Treasury Sponsored program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 </w:t>
      </w:r>
      <w:r w:rsidR="007C1890">
        <w:rPr>
          <w:rFonts w:ascii="Verdana" w:hAnsi="Verdana" w:cs="Verdana"/>
          <w:sz w:val="20"/>
          <w:szCs w:val="20"/>
        </w:rPr>
        <w:t xml:space="preserve"> All other questions about this program should be directed to Treasury.</w:t>
      </w:r>
    </w:p>
    <w:sectPr w:rsidR="00472D0E" w:rsidRPr="009C1B31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FD" w:rsidRDefault="00307AFD">
      <w:r>
        <w:separator/>
      </w:r>
    </w:p>
  </w:endnote>
  <w:endnote w:type="continuationSeparator" w:id="0">
    <w:p w:rsidR="00307AFD" w:rsidRDefault="0030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5699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FD" w:rsidRDefault="00307AFD">
      <w:r>
        <w:separator/>
      </w:r>
    </w:p>
  </w:footnote>
  <w:footnote w:type="continuationSeparator" w:id="0">
    <w:p w:rsidR="00307AFD" w:rsidRDefault="0030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307AFD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77242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0A387E">
          <w:rPr>
            <w:rFonts w:ascii="Verdana" w:hAnsi="Verdana" w:cs="Arial"/>
            <w:b/>
            <w:bCs/>
            <w:sz w:val="28"/>
            <w:szCs w:val="28"/>
          </w:rPr>
          <w:t>7</w:t>
        </w:r>
        <w:r w:rsidR="00965FDE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1005E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:rsidR="009C1B31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685856" w:rsidRPr="00552089">
      <w:rPr>
        <w:rFonts w:ascii="Verdana" w:hAnsi="Verdana" w:cs="Arial"/>
        <w:sz w:val="20"/>
        <w:szCs w:val="20"/>
      </w:rPr>
      <w:t xml:space="preserve"> </w:t>
    </w:r>
    <w:r w:rsidR="006D5405">
      <w:rPr>
        <w:rFonts w:ascii="Verdana" w:hAnsi="Verdana" w:cs="Arial"/>
        <w:sz w:val="20"/>
        <w:szCs w:val="20"/>
      </w:rPr>
      <w:t>08</w:t>
    </w:r>
    <w:r w:rsidR="00315094">
      <w:rPr>
        <w:rFonts w:ascii="Verdana" w:hAnsi="Verdana" w:cs="Arial"/>
        <w:sz w:val="20"/>
        <w:szCs w:val="20"/>
      </w:rPr>
      <w:t>.</w:t>
    </w:r>
    <w:r w:rsidR="006D5405">
      <w:rPr>
        <w:rFonts w:ascii="Verdana" w:hAnsi="Verdana" w:cs="Arial"/>
        <w:sz w:val="20"/>
        <w:szCs w:val="20"/>
      </w:rPr>
      <w:t>30</w:t>
    </w:r>
    <w:r w:rsidR="000A387E">
      <w:rPr>
        <w:rFonts w:ascii="Verdana" w:hAnsi="Verdana" w:cs="Arial"/>
        <w:sz w:val="20"/>
        <w:szCs w:val="20"/>
      </w:rPr>
      <w:t>.2017</w:t>
    </w:r>
  </w:p>
  <w:p w:rsidR="00405CB0" w:rsidRPr="00552089" w:rsidRDefault="00405CB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0DE48FF"/>
    <w:multiLevelType w:val="hybridMultilevel"/>
    <w:tmpl w:val="39BA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1230E3"/>
    <w:multiLevelType w:val="hybridMultilevel"/>
    <w:tmpl w:val="4EF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3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DE"/>
    <w:rsid w:val="00010771"/>
    <w:rsid w:val="000128F7"/>
    <w:rsid w:val="00015F8F"/>
    <w:rsid w:val="00037B54"/>
    <w:rsid w:val="00041A44"/>
    <w:rsid w:val="00045ADA"/>
    <w:rsid w:val="000677CE"/>
    <w:rsid w:val="00087AEB"/>
    <w:rsid w:val="000973C3"/>
    <w:rsid w:val="000A0B0D"/>
    <w:rsid w:val="000A387E"/>
    <w:rsid w:val="000D1069"/>
    <w:rsid w:val="000D6E6A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83489"/>
    <w:rsid w:val="00194B6C"/>
    <w:rsid w:val="001B3B1F"/>
    <w:rsid w:val="001D27AD"/>
    <w:rsid w:val="001E5838"/>
    <w:rsid w:val="001F3743"/>
    <w:rsid w:val="00204AB0"/>
    <w:rsid w:val="0021005E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0768"/>
    <w:rsid w:val="002E2EC1"/>
    <w:rsid w:val="002E7326"/>
    <w:rsid w:val="002E7E5C"/>
    <w:rsid w:val="002F0C17"/>
    <w:rsid w:val="00303D42"/>
    <w:rsid w:val="00303DED"/>
    <w:rsid w:val="00307692"/>
    <w:rsid w:val="00307AFD"/>
    <w:rsid w:val="00315094"/>
    <w:rsid w:val="00320821"/>
    <w:rsid w:val="003504AF"/>
    <w:rsid w:val="00363E80"/>
    <w:rsid w:val="00377242"/>
    <w:rsid w:val="00387972"/>
    <w:rsid w:val="003D3C16"/>
    <w:rsid w:val="003F1703"/>
    <w:rsid w:val="003F28EF"/>
    <w:rsid w:val="003F45B6"/>
    <w:rsid w:val="00402295"/>
    <w:rsid w:val="00405CB0"/>
    <w:rsid w:val="00406094"/>
    <w:rsid w:val="00412D1B"/>
    <w:rsid w:val="004231E8"/>
    <w:rsid w:val="00431645"/>
    <w:rsid w:val="0045597A"/>
    <w:rsid w:val="00472D0E"/>
    <w:rsid w:val="00473681"/>
    <w:rsid w:val="004821A6"/>
    <w:rsid w:val="0048680C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7B92"/>
    <w:rsid w:val="00561F4C"/>
    <w:rsid w:val="00575F1A"/>
    <w:rsid w:val="00581953"/>
    <w:rsid w:val="005837E2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C05AB"/>
    <w:rsid w:val="006C3972"/>
    <w:rsid w:val="006D5405"/>
    <w:rsid w:val="006D7B98"/>
    <w:rsid w:val="006E3735"/>
    <w:rsid w:val="006E6ED3"/>
    <w:rsid w:val="006F085B"/>
    <w:rsid w:val="006F7B2C"/>
    <w:rsid w:val="007008F5"/>
    <w:rsid w:val="007142A8"/>
    <w:rsid w:val="00725A65"/>
    <w:rsid w:val="00755125"/>
    <w:rsid w:val="00761E16"/>
    <w:rsid w:val="00781D8D"/>
    <w:rsid w:val="00792831"/>
    <w:rsid w:val="007A4A1D"/>
    <w:rsid w:val="007B1C44"/>
    <w:rsid w:val="007B23C1"/>
    <w:rsid w:val="007C1890"/>
    <w:rsid w:val="007D08B4"/>
    <w:rsid w:val="007D4312"/>
    <w:rsid w:val="007D4D67"/>
    <w:rsid w:val="007F0EDA"/>
    <w:rsid w:val="00825BAC"/>
    <w:rsid w:val="008333AC"/>
    <w:rsid w:val="00834767"/>
    <w:rsid w:val="008364AA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65FDE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B330C"/>
    <w:rsid w:val="00AC4B6F"/>
    <w:rsid w:val="00AC7853"/>
    <w:rsid w:val="00AD03DB"/>
    <w:rsid w:val="00AD22B0"/>
    <w:rsid w:val="00AD38C5"/>
    <w:rsid w:val="00AE3238"/>
    <w:rsid w:val="00B070F3"/>
    <w:rsid w:val="00B20ABD"/>
    <w:rsid w:val="00B3324C"/>
    <w:rsid w:val="00B44329"/>
    <w:rsid w:val="00B458B2"/>
    <w:rsid w:val="00B45EB7"/>
    <w:rsid w:val="00B517A2"/>
    <w:rsid w:val="00B57E09"/>
    <w:rsid w:val="00B653EB"/>
    <w:rsid w:val="00B7665A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0ECA"/>
    <w:rsid w:val="00C37928"/>
    <w:rsid w:val="00C45B7D"/>
    <w:rsid w:val="00C5303C"/>
    <w:rsid w:val="00C56997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4DE"/>
    <w:rsid w:val="00EE4243"/>
    <w:rsid w:val="00F007DB"/>
    <w:rsid w:val="00F1548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EAA4C5-5C60-4BE0-A8E0-9CAF7D3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0768"/>
    <w:pPr>
      <w:ind w:left="720"/>
      <w:contextualSpacing/>
    </w:pPr>
  </w:style>
  <w:style w:type="paragraph" w:customStyle="1" w:styleId="Default">
    <w:name w:val="Default"/>
    <w:rsid w:val="002E07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022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ble.gov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yworkplace.state.pa.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paable.gov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F8BAC4009640BEB4EE3AE6FE42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FB34-BC8C-4DFD-9A78-EB827300C923}"/>
      </w:docPartPr>
      <w:docPartBody>
        <w:p w:rsidR="002D776C" w:rsidRDefault="002D776C">
          <w:pPr>
            <w:pStyle w:val="78F8BAC4009640BEB4EE3AE6FE42D444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4F7A820F54F14E50AD361CC553B4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4215-B822-4C80-BA4B-91DCD7C94C7E}"/>
      </w:docPartPr>
      <w:docPartBody>
        <w:p w:rsidR="002D776C" w:rsidRDefault="002D776C">
          <w:pPr>
            <w:pStyle w:val="4F7A820F54F14E50AD361CC553B4094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50830A8CF5B5446A9F6A43D7A330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BD8A-036D-474E-B531-526E19FF41F8}"/>
      </w:docPartPr>
      <w:docPartBody>
        <w:p w:rsidR="002D776C" w:rsidRDefault="002D776C">
          <w:pPr>
            <w:pStyle w:val="50830A8CF5B5446A9F6A43D7A33096B4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C"/>
    <w:rsid w:val="002D776C"/>
    <w:rsid w:val="005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78F8BAC4009640BEB4EE3AE6FE42D444">
    <w:name w:val="78F8BAC4009640BEB4EE3AE6FE42D444"/>
  </w:style>
  <w:style w:type="paragraph" w:customStyle="1" w:styleId="4F7A820F54F14E50AD361CC553B40945">
    <w:name w:val="4F7A820F54F14E50AD361CC553B40945"/>
  </w:style>
  <w:style w:type="paragraph" w:customStyle="1" w:styleId="50830A8CF5B5446A9F6A43D7A33096B4">
    <w:name w:val="50830A8CF5B5446A9F6A43D7A3309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FDE204-C642-463C-972E-3475F5C89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E99BB-AE5C-45C8-9778-884AA8FED174}"/>
</file>

<file path=customXml/itemProps3.xml><?xml version="1.0" encoding="utf-8"?>
<ds:datastoreItem xmlns:ds="http://schemas.openxmlformats.org/officeDocument/2006/customXml" ds:itemID="{6A5AD53A-51E7-491E-8501-46C2BFB47A0E}"/>
</file>

<file path=customXml/itemProps4.xml><?xml version="1.0" encoding="utf-8"?>
<ds:datastoreItem xmlns:ds="http://schemas.openxmlformats.org/officeDocument/2006/customXml" ds:itemID="{4D7E1AD9-D492-4CAB-88EB-434BA6F20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ABLE – A New Treasury Sponsored program</vt:lpstr>
    </vt:vector>
  </TitlesOfParts>
  <Company>Office of Administration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ABLE – A New Treasury Sponsored program</dc:title>
  <dc:subject>Information regarding PA ABLE, a new Treasury sponsored program</dc:subject>
  <dc:creator>kreichertw</dc:creator>
  <cp:keywords>Description, Keywords, Operations, Benefits</cp:keywords>
  <dc:description/>
  <cp:lastModifiedBy>Egan, Daniel</cp:lastModifiedBy>
  <cp:revision>2</cp:revision>
  <cp:lastPrinted>2011-02-25T13:44:00Z</cp:lastPrinted>
  <dcterms:created xsi:type="dcterms:W3CDTF">2017-08-30T16:23:00Z</dcterms:created>
  <dcterms:modified xsi:type="dcterms:W3CDTF">2017-08-30T16:23:00Z</dcterms:modified>
  <cp:category>Benefits Alert</cp:category>
  <cp:contentStatus>2017-03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