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42" w:rsidRPr="009C1B31" w:rsidRDefault="00377242">
      <w:pPr>
        <w:rPr>
          <w:rFonts w:ascii="Verdana" w:hAnsi="Verdana" w:cs="Arial"/>
          <w:b/>
          <w:bCs/>
          <w:sz w:val="20"/>
          <w:szCs w:val="20"/>
        </w:rPr>
      </w:pPr>
    </w:p>
    <w:p w:rsidR="00472D0E" w:rsidRPr="00870071" w:rsidRDefault="00472D0E" w:rsidP="00472D0E">
      <w:pPr>
        <w:rPr>
          <w:rFonts w:ascii="Verdana" w:hAnsi="Verdana" w:cs="Verdana"/>
          <w:b/>
          <w:bCs/>
          <w:i/>
          <w:iCs/>
          <w:sz w:val="20"/>
          <w:szCs w:val="20"/>
        </w:rPr>
      </w:pPr>
      <w:r w:rsidRPr="00870071">
        <w:rPr>
          <w:rFonts w:ascii="Verdana" w:hAnsi="Verdana" w:cs="Verdana"/>
          <w:b/>
          <w:bCs/>
          <w:i/>
          <w:iCs/>
          <w:sz w:val="20"/>
          <w:szCs w:val="20"/>
        </w:rPr>
        <w:t xml:space="preserve">Please distribute this alert to any users within your agency who are responsible for </w:t>
      </w:r>
      <w:r w:rsidR="00E404C3">
        <w:rPr>
          <w:rFonts w:ascii="Verdana" w:hAnsi="Verdana" w:cs="Verdana"/>
          <w:b/>
          <w:bCs/>
          <w:i/>
          <w:iCs/>
          <w:sz w:val="20"/>
          <w:szCs w:val="20"/>
        </w:rPr>
        <w:t>transactions and benefit enrollments</w:t>
      </w:r>
      <w:r w:rsidRPr="00870071">
        <w:rPr>
          <w:rFonts w:ascii="Verdana" w:hAnsi="Verdana" w:cs="Verdana"/>
          <w:b/>
          <w:bCs/>
          <w:i/>
          <w:iCs/>
          <w:sz w:val="20"/>
          <w:szCs w:val="20"/>
        </w:rPr>
        <w:t>.</w:t>
      </w:r>
    </w:p>
    <w:p w:rsidR="00472D0E" w:rsidRPr="00870071" w:rsidRDefault="00472D0E" w:rsidP="00C13502">
      <w:pPr>
        <w:rPr>
          <w:rFonts w:ascii="Verdana" w:hAnsi="Verdana" w:cs="Verdana"/>
          <w:b/>
          <w:sz w:val="20"/>
          <w:szCs w:val="20"/>
        </w:rPr>
      </w:pPr>
    </w:p>
    <w:p w:rsidR="00472D0E" w:rsidRPr="00870071" w:rsidRDefault="00472D0E" w:rsidP="00C13502">
      <w:pPr>
        <w:rPr>
          <w:rFonts w:ascii="Verdana" w:hAnsi="Verdana" w:cs="Verdana"/>
          <w:b/>
          <w:sz w:val="20"/>
          <w:szCs w:val="20"/>
        </w:rPr>
      </w:pPr>
    </w:p>
    <w:p w:rsidR="00685856" w:rsidRDefault="004F5CF9" w:rsidP="00C13502">
      <w:pPr>
        <w:rPr>
          <w:rFonts w:ascii="Verdana" w:hAnsi="Verdana" w:cs="Verdana"/>
          <w:b/>
          <w:sz w:val="20"/>
          <w:szCs w:val="20"/>
        </w:rPr>
      </w:pPr>
      <w:r>
        <w:rPr>
          <w:rFonts w:ascii="Verdana" w:hAnsi="Verdana" w:cs="Verdana"/>
          <w:b/>
          <w:sz w:val="20"/>
          <w:szCs w:val="20"/>
        </w:rPr>
        <w:t>Employee Contribution Surcharge</w:t>
      </w:r>
    </w:p>
    <w:p w:rsidR="004F5CF9" w:rsidRPr="00870071" w:rsidRDefault="004F5CF9" w:rsidP="00C13502">
      <w:pPr>
        <w:rPr>
          <w:rFonts w:ascii="Verdana" w:hAnsi="Verdana" w:cs="Verdana"/>
          <w:b/>
          <w:sz w:val="20"/>
          <w:szCs w:val="20"/>
        </w:rPr>
      </w:pPr>
    </w:p>
    <w:p w:rsidR="00377242" w:rsidRPr="00870071" w:rsidRDefault="00E7092A"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295B63EAE6184065B5EEE00523B83C85"/>
          </w:placeholder>
          <w:dataBinding w:prefixMappings="xmlns:ns0='http://purl.org/dc/elements/1.1/' xmlns:ns1='http://schemas.openxmlformats.org/package/2006/metadata/core-properties' " w:xpath="/ns1:coreProperties[1]/ns0:subject[1]" w:storeItemID="{6C3C8BC8-F283-45AE-878A-BAB7291924A1}"/>
          <w:text/>
        </w:sdtPr>
        <w:sdtEndPr/>
        <w:sdtContent>
          <w:r w:rsidR="006B18F9">
            <w:rPr>
              <w:rFonts w:ascii="Verdana" w:hAnsi="Verdana" w:cs="Verdana"/>
              <w:sz w:val="20"/>
              <w:szCs w:val="20"/>
            </w:rPr>
            <w:t>Information regarding the Employee Contribution Surcharge</w:t>
          </w:r>
        </w:sdtContent>
      </w:sdt>
    </w:p>
    <w:p w:rsidR="00377242" w:rsidRPr="009C1B31" w:rsidRDefault="00377242" w:rsidP="00010771">
      <w:pPr>
        <w:rPr>
          <w:rFonts w:ascii="Verdana" w:hAnsi="Verdana" w:cs="Verdana"/>
          <w:b/>
          <w:bCs/>
          <w:sz w:val="20"/>
          <w:szCs w:val="20"/>
        </w:rPr>
      </w:pPr>
    </w:p>
    <w:p w:rsidR="0093519B" w:rsidRDefault="00FC1D74" w:rsidP="00B12AD2">
      <w:pPr>
        <w:rPr>
          <w:rFonts w:ascii="Verdana" w:hAnsi="Verdana" w:cs="Verdana"/>
          <w:sz w:val="20"/>
          <w:szCs w:val="20"/>
        </w:rPr>
      </w:pPr>
      <w:r>
        <w:rPr>
          <w:rFonts w:ascii="Verdana" w:hAnsi="Verdana" w:cs="Verdana"/>
          <w:sz w:val="20"/>
          <w:szCs w:val="20"/>
        </w:rPr>
        <w:t xml:space="preserve">On May 17, 2016, the </w:t>
      </w:r>
      <w:r w:rsidR="0093519B">
        <w:rPr>
          <w:rFonts w:ascii="Verdana" w:hAnsi="Verdana" w:cs="Verdana"/>
          <w:sz w:val="20"/>
          <w:szCs w:val="20"/>
        </w:rPr>
        <w:t>Equal Employment Opportunity Commission (EEOC) issued final regulations on wellness plans.  The regulations provide guidance on waivers and state that waivers cannot exceed a specific</w:t>
      </w:r>
      <w:bookmarkStart w:id="0" w:name="_GoBack"/>
      <w:bookmarkEnd w:id="0"/>
      <w:r w:rsidR="0093519B">
        <w:rPr>
          <w:rFonts w:ascii="Verdana" w:hAnsi="Verdana" w:cs="Verdana"/>
          <w:sz w:val="20"/>
          <w:szCs w:val="20"/>
        </w:rPr>
        <w:t xml:space="preserve"> threshold.  For the Pennsylvania Employee’s Benefit Trust Fund (PEBTF) Get Health</w:t>
      </w:r>
      <w:r w:rsidR="00E47F87">
        <w:rPr>
          <w:rFonts w:ascii="Verdana" w:hAnsi="Verdana" w:cs="Verdana"/>
          <w:sz w:val="20"/>
          <w:szCs w:val="20"/>
        </w:rPr>
        <w:t>y</w:t>
      </w:r>
      <w:r w:rsidR="0093519B">
        <w:rPr>
          <w:rFonts w:ascii="Verdana" w:hAnsi="Verdana" w:cs="Verdana"/>
          <w:sz w:val="20"/>
          <w:szCs w:val="20"/>
        </w:rPr>
        <w:t xml:space="preserve"> program, the waiver cannot exceed 30% of the annual premium for the single coverage of the lowest cost plan.  When calculated, this amount equals $62.19 bi-weekly for calendar year 2017.</w:t>
      </w:r>
    </w:p>
    <w:p w:rsidR="0093519B" w:rsidRDefault="0093519B" w:rsidP="00B12AD2">
      <w:pPr>
        <w:rPr>
          <w:rFonts w:ascii="Verdana" w:hAnsi="Verdana" w:cs="Verdana"/>
          <w:sz w:val="20"/>
          <w:szCs w:val="20"/>
        </w:rPr>
      </w:pPr>
    </w:p>
    <w:p w:rsidR="00E94423" w:rsidRDefault="0093519B" w:rsidP="00B12AD2">
      <w:pPr>
        <w:rPr>
          <w:rFonts w:ascii="Verdana" w:hAnsi="Verdana" w:cs="Verdana"/>
          <w:sz w:val="20"/>
          <w:szCs w:val="20"/>
        </w:rPr>
      </w:pPr>
      <w:r>
        <w:rPr>
          <w:rFonts w:ascii="Verdana" w:hAnsi="Verdana" w:cs="Verdana"/>
          <w:sz w:val="20"/>
          <w:szCs w:val="20"/>
        </w:rPr>
        <w:t xml:space="preserve">Due to this ruling, </w:t>
      </w:r>
      <w:r w:rsidRPr="002167FB">
        <w:rPr>
          <w:rFonts w:ascii="Verdana" w:hAnsi="Verdana" w:cs="Verdana"/>
          <w:b/>
          <w:sz w:val="20"/>
          <w:szCs w:val="20"/>
        </w:rPr>
        <w:t>c</w:t>
      </w:r>
      <w:r w:rsidR="004F5CF9" w:rsidRPr="002167FB">
        <w:rPr>
          <w:rFonts w:ascii="Verdana" w:hAnsi="Verdana" w:cs="Verdana"/>
          <w:b/>
          <w:sz w:val="20"/>
          <w:szCs w:val="20"/>
        </w:rPr>
        <w:t xml:space="preserve">ommonwealth employees enrolled in benefits </w:t>
      </w:r>
      <w:r w:rsidR="004F5CF9" w:rsidRPr="002167FB">
        <w:rPr>
          <w:rFonts w:ascii="Verdana" w:hAnsi="Verdana" w:cs="Verdana"/>
          <w:b/>
          <w:sz w:val="20"/>
          <w:szCs w:val="20"/>
          <w:u w:val="single"/>
        </w:rPr>
        <w:t>not</w:t>
      </w:r>
      <w:r w:rsidR="004F5CF9" w:rsidRPr="002167FB">
        <w:rPr>
          <w:rFonts w:ascii="Verdana" w:hAnsi="Verdana" w:cs="Verdana"/>
          <w:b/>
          <w:sz w:val="20"/>
          <w:szCs w:val="20"/>
        </w:rPr>
        <w:t xml:space="preserve"> participating in the Get Healthy Wellness Screening will incur an Employee Contribution Surcharge</w:t>
      </w:r>
      <w:r w:rsidR="004F5CF9">
        <w:rPr>
          <w:rFonts w:ascii="Verdana" w:hAnsi="Verdana" w:cs="Verdana"/>
          <w:sz w:val="20"/>
          <w:szCs w:val="20"/>
        </w:rPr>
        <w:t>.  This deduction is</w:t>
      </w:r>
      <w:r w:rsidR="00E47F87">
        <w:rPr>
          <w:rFonts w:ascii="Verdana" w:hAnsi="Verdana" w:cs="Verdana"/>
          <w:sz w:val="20"/>
          <w:szCs w:val="20"/>
        </w:rPr>
        <w:t xml:space="preserve"> a</w:t>
      </w:r>
      <w:r w:rsidR="004F5CF9">
        <w:rPr>
          <w:rFonts w:ascii="Verdana" w:hAnsi="Verdana" w:cs="Verdana"/>
          <w:sz w:val="20"/>
          <w:szCs w:val="20"/>
        </w:rPr>
        <w:t xml:space="preserve"> pre-tax </w:t>
      </w:r>
      <w:r w:rsidR="002B1873">
        <w:rPr>
          <w:rFonts w:ascii="Verdana" w:hAnsi="Verdana" w:cs="Verdana"/>
          <w:sz w:val="20"/>
          <w:szCs w:val="20"/>
        </w:rPr>
        <w:t xml:space="preserve">flat dollar amount which will be incurred by the employee </w:t>
      </w:r>
      <w:r w:rsidR="004F5CF9">
        <w:rPr>
          <w:rFonts w:ascii="Verdana" w:hAnsi="Verdana" w:cs="Verdana"/>
          <w:sz w:val="20"/>
          <w:szCs w:val="20"/>
        </w:rPr>
        <w:t xml:space="preserve">in addition to the </w:t>
      </w:r>
      <w:r w:rsidR="00E47F87">
        <w:rPr>
          <w:rFonts w:ascii="Verdana" w:hAnsi="Verdana" w:cs="Verdana"/>
          <w:sz w:val="20"/>
          <w:szCs w:val="20"/>
        </w:rPr>
        <w:t>E</w:t>
      </w:r>
      <w:r w:rsidR="004F5CF9">
        <w:rPr>
          <w:rFonts w:ascii="Verdana" w:hAnsi="Verdana" w:cs="Verdana"/>
          <w:sz w:val="20"/>
          <w:szCs w:val="20"/>
        </w:rPr>
        <w:t xml:space="preserve">mployee </w:t>
      </w:r>
      <w:r w:rsidR="00E47F87">
        <w:rPr>
          <w:rFonts w:ascii="Verdana" w:hAnsi="Verdana" w:cs="Verdana"/>
          <w:sz w:val="20"/>
          <w:szCs w:val="20"/>
        </w:rPr>
        <w:t>Pre-Tax M</w:t>
      </w:r>
      <w:r w:rsidR="002B1873">
        <w:rPr>
          <w:rFonts w:ascii="Verdana" w:hAnsi="Verdana" w:cs="Verdana"/>
          <w:sz w:val="20"/>
          <w:szCs w:val="20"/>
        </w:rPr>
        <w:t xml:space="preserve">edical </w:t>
      </w:r>
      <w:r w:rsidR="00E47F87">
        <w:rPr>
          <w:rFonts w:ascii="Verdana" w:hAnsi="Verdana" w:cs="Verdana"/>
          <w:sz w:val="20"/>
          <w:szCs w:val="20"/>
        </w:rPr>
        <w:t>H</w:t>
      </w:r>
      <w:r w:rsidR="002B1873">
        <w:rPr>
          <w:rFonts w:ascii="Verdana" w:hAnsi="Verdana" w:cs="Verdana"/>
          <w:sz w:val="20"/>
          <w:szCs w:val="20"/>
        </w:rPr>
        <w:t xml:space="preserve">ospital </w:t>
      </w:r>
      <w:r w:rsidR="00E47F87">
        <w:rPr>
          <w:rFonts w:ascii="Verdana" w:hAnsi="Verdana" w:cs="Verdana"/>
          <w:sz w:val="20"/>
          <w:szCs w:val="20"/>
        </w:rPr>
        <w:t>P</w:t>
      </w:r>
      <w:r w:rsidR="002B1873">
        <w:rPr>
          <w:rFonts w:ascii="Verdana" w:hAnsi="Verdana" w:cs="Verdana"/>
          <w:sz w:val="20"/>
          <w:szCs w:val="20"/>
        </w:rPr>
        <w:t xml:space="preserve">ercentage currently being deducted from </w:t>
      </w:r>
      <w:r w:rsidR="00E47F87">
        <w:rPr>
          <w:rFonts w:ascii="Verdana" w:hAnsi="Verdana" w:cs="Verdana"/>
          <w:sz w:val="20"/>
          <w:szCs w:val="20"/>
        </w:rPr>
        <w:t>an employee’s</w:t>
      </w:r>
      <w:r w:rsidR="002B1873">
        <w:rPr>
          <w:rFonts w:ascii="Verdana" w:hAnsi="Verdana" w:cs="Verdana"/>
          <w:sz w:val="20"/>
          <w:szCs w:val="20"/>
        </w:rPr>
        <w:t xml:space="preserve"> pay</w:t>
      </w:r>
      <w:r w:rsidR="005F11FE">
        <w:rPr>
          <w:rFonts w:ascii="Verdana" w:hAnsi="Verdana" w:cs="Verdana"/>
          <w:sz w:val="20"/>
          <w:szCs w:val="20"/>
        </w:rPr>
        <w:t xml:space="preserve"> if</w:t>
      </w:r>
      <w:r w:rsidR="00E47F87">
        <w:rPr>
          <w:rFonts w:ascii="Verdana" w:hAnsi="Verdana" w:cs="Verdana"/>
          <w:sz w:val="20"/>
          <w:szCs w:val="20"/>
        </w:rPr>
        <w:t xml:space="preserve"> </w:t>
      </w:r>
      <w:r w:rsidR="002B1873">
        <w:rPr>
          <w:rFonts w:ascii="Verdana" w:hAnsi="Verdana" w:cs="Verdana"/>
          <w:sz w:val="20"/>
          <w:szCs w:val="20"/>
        </w:rPr>
        <w:t>enrolled in benefits</w:t>
      </w:r>
      <w:r w:rsidR="00E47F87">
        <w:rPr>
          <w:rFonts w:ascii="Verdana" w:hAnsi="Verdana" w:cs="Verdana"/>
          <w:sz w:val="20"/>
          <w:szCs w:val="20"/>
        </w:rPr>
        <w:t>.</w:t>
      </w:r>
      <w:r w:rsidR="002B1873">
        <w:rPr>
          <w:rFonts w:ascii="Verdana" w:hAnsi="Verdana" w:cs="Verdana"/>
          <w:sz w:val="20"/>
          <w:szCs w:val="20"/>
        </w:rPr>
        <w:t xml:space="preserve"> </w:t>
      </w:r>
    </w:p>
    <w:p w:rsidR="002B1873" w:rsidRDefault="002B1873" w:rsidP="00B12AD2">
      <w:pPr>
        <w:rPr>
          <w:rFonts w:ascii="Verdana" w:hAnsi="Verdana" w:cs="Verdana"/>
          <w:sz w:val="20"/>
          <w:szCs w:val="20"/>
        </w:rPr>
      </w:pPr>
    </w:p>
    <w:p w:rsidR="002B1873" w:rsidRPr="006B18F9" w:rsidRDefault="002B1873" w:rsidP="00B12AD2">
      <w:pPr>
        <w:rPr>
          <w:rFonts w:ascii="Verdana" w:hAnsi="Verdana" w:cs="Verdana"/>
          <w:sz w:val="20"/>
          <w:szCs w:val="20"/>
        </w:rPr>
      </w:pPr>
      <w:r w:rsidRPr="006B18F9">
        <w:rPr>
          <w:rFonts w:ascii="Verdana" w:hAnsi="Verdana" w:cs="Verdana"/>
          <w:sz w:val="20"/>
          <w:szCs w:val="20"/>
        </w:rPr>
        <w:t xml:space="preserve">Effective </w:t>
      </w:r>
      <w:r w:rsidR="002167FB">
        <w:rPr>
          <w:rFonts w:ascii="Verdana" w:hAnsi="Verdana" w:cs="Verdana"/>
          <w:sz w:val="20"/>
          <w:szCs w:val="20"/>
        </w:rPr>
        <w:t xml:space="preserve">January 1, </w:t>
      </w:r>
      <w:r w:rsidRPr="006B18F9">
        <w:rPr>
          <w:rFonts w:ascii="Verdana" w:hAnsi="Verdana" w:cs="Verdana"/>
          <w:sz w:val="20"/>
          <w:szCs w:val="20"/>
        </w:rPr>
        <w:t>2017, the following unions will have the Employee Contribution Surcharge implemented:</w:t>
      </w:r>
    </w:p>
    <w:p w:rsidR="002B1873" w:rsidRPr="006B18F9" w:rsidRDefault="002B1873" w:rsidP="00B12AD2">
      <w:pPr>
        <w:rPr>
          <w:rFonts w:ascii="Verdana" w:hAnsi="Verdana" w:cs="Verdana"/>
          <w:sz w:val="20"/>
          <w:szCs w:val="20"/>
        </w:rPr>
      </w:pPr>
    </w:p>
    <w:p w:rsidR="002B1873" w:rsidRDefault="002B1873" w:rsidP="003150F9">
      <w:pPr>
        <w:pStyle w:val="ListParagraph"/>
        <w:numPr>
          <w:ilvl w:val="0"/>
          <w:numId w:val="43"/>
        </w:numPr>
        <w:autoSpaceDE w:val="0"/>
        <w:autoSpaceDN w:val="0"/>
        <w:jc w:val="both"/>
        <w:rPr>
          <w:rFonts w:ascii="Verdana" w:hAnsi="Verdana"/>
          <w:sz w:val="20"/>
          <w:szCs w:val="20"/>
        </w:rPr>
      </w:pPr>
      <w:r w:rsidRPr="003150F9">
        <w:rPr>
          <w:rFonts w:ascii="Verdana" w:hAnsi="Verdana"/>
          <w:sz w:val="20"/>
          <w:szCs w:val="20"/>
        </w:rPr>
        <w:t xml:space="preserve">American Federation of State, </w:t>
      </w:r>
      <w:proofErr w:type="gramStart"/>
      <w:r w:rsidRPr="003150F9">
        <w:rPr>
          <w:rFonts w:ascii="Verdana" w:hAnsi="Verdana"/>
          <w:sz w:val="20"/>
          <w:szCs w:val="20"/>
        </w:rPr>
        <w:t>County</w:t>
      </w:r>
      <w:proofErr w:type="gramEnd"/>
      <w:r w:rsidRPr="003150F9">
        <w:rPr>
          <w:rFonts w:ascii="Verdana" w:hAnsi="Verdana"/>
          <w:sz w:val="20"/>
          <w:szCs w:val="20"/>
        </w:rPr>
        <w:t xml:space="preserve"> and Municipal Employees (AFSCME) </w:t>
      </w:r>
    </w:p>
    <w:p w:rsidR="00817EAF" w:rsidRPr="003150F9" w:rsidRDefault="00817EAF" w:rsidP="003150F9">
      <w:pPr>
        <w:pStyle w:val="ListParagraph"/>
        <w:numPr>
          <w:ilvl w:val="0"/>
          <w:numId w:val="43"/>
        </w:numPr>
        <w:autoSpaceDE w:val="0"/>
        <w:autoSpaceDN w:val="0"/>
        <w:jc w:val="both"/>
        <w:rPr>
          <w:rFonts w:ascii="Verdana" w:hAnsi="Verdana"/>
          <w:sz w:val="20"/>
          <w:szCs w:val="20"/>
        </w:rPr>
      </w:pPr>
      <w:r>
        <w:rPr>
          <w:rFonts w:ascii="Verdana" w:hAnsi="Verdana"/>
          <w:sz w:val="20"/>
          <w:szCs w:val="20"/>
        </w:rPr>
        <w:t>Service Employees International Union (SEIU) Local 668</w:t>
      </w:r>
    </w:p>
    <w:p w:rsidR="002B1873" w:rsidRPr="003150F9" w:rsidRDefault="002B1873" w:rsidP="003150F9">
      <w:pPr>
        <w:pStyle w:val="ListParagraph"/>
        <w:numPr>
          <w:ilvl w:val="0"/>
          <w:numId w:val="43"/>
        </w:numPr>
        <w:rPr>
          <w:rFonts w:ascii="Verdana" w:hAnsi="Verdana"/>
          <w:sz w:val="20"/>
          <w:szCs w:val="20"/>
        </w:rPr>
      </w:pPr>
      <w:r w:rsidRPr="003150F9">
        <w:rPr>
          <w:rFonts w:ascii="Verdana" w:hAnsi="Verdana"/>
          <w:sz w:val="20"/>
          <w:szCs w:val="20"/>
        </w:rPr>
        <w:t>Service Employees International Union (SEIU)</w:t>
      </w:r>
      <w:r w:rsidR="00817EAF">
        <w:rPr>
          <w:rFonts w:ascii="Verdana" w:hAnsi="Verdana"/>
          <w:sz w:val="20"/>
          <w:szCs w:val="20"/>
        </w:rPr>
        <w:t xml:space="preserve"> Healthcare PA</w:t>
      </w:r>
    </w:p>
    <w:p w:rsidR="002B1873" w:rsidRPr="003150F9" w:rsidRDefault="002B1873" w:rsidP="003150F9">
      <w:pPr>
        <w:pStyle w:val="ListParagraph"/>
        <w:numPr>
          <w:ilvl w:val="0"/>
          <w:numId w:val="43"/>
        </w:numPr>
        <w:rPr>
          <w:rFonts w:ascii="Verdana" w:hAnsi="Verdana"/>
          <w:sz w:val="20"/>
          <w:szCs w:val="20"/>
        </w:rPr>
      </w:pPr>
      <w:r w:rsidRPr="003150F9">
        <w:rPr>
          <w:rFonts w:ascii="Verdana" w:hAnsi="Verdana"/>
          <w:sz w:val="20"/>
          <w:szCs w:val="20"/>
        </w:rPr>
        <w:t>United Food and Commercial Workers (UFCW)</w:t>
      </w:r>
    </w:p>
    <w:p w:rsidR="002B1873" w:rsidRPr="003150F9" w:rsidRDefault="002B1873" w:rsidP="003150F9">
      <w:pPr>
        <w:pStyle w:val="ListParagraph"/>
        <w:numPr>
          <w:ilvl w:val="0"/>
          <w:numId w:val="43"/>
        </w:numPr>
        <w:rPr>
          <w:rFonts w:ascii="Verdana" w:hAnsi="Verdana"/>
          <w:sz w:val="20"/>
          <w:szCs w:val="20"/>
        </w:rPr>
      </w:pPr>
      <w:r w:rsidRPr="003150F9">
        <w:rPr>
          <w:rFonts w:ascii="Verdana" w:hAnsi="Verdana"/>
          <w:sz w:val="20"/>
          <w:szCs w:val="20"/>
        </w:rPr>
        <w:t>Office and Professional Employees International Union – Healthcare Pennsylvania (OPEIU)</w:t>
      </w:r>
    </w:p>
    <w:p w:rsidR="002B1873" w:rsidRPr="003150F9" w:rsidRDefault="002B1873" w:rsidP="003150F9">
      <w:pPr>
        <w:pStyle w:val="ListParagraph"/>
        <w:numPr>
          <w:ilvl w:val="0"/>
          <w:numId w:val="43"/>
        </w:numPr>
        <w:rPr>
          <w:rFonts w:ascii="Verdana" w:hAnsi="Verdana"/>
          <w:sz w:val="20"/>
          <w:szCs w:val="20"/>
        </w:rPr>
      </w:pPr>
      <w:r w:rsidRPr="003150F9">
        <w:rPr>
          <w:rFonts w:ascii="Verdana" w:hAnsi="Verdana"/>
          <w:sz w:val="20"/>
          <w:szCs w:val="20"/>
        </w:rPr>
        <w:t>PA State Education Association (PSEA)</w:t>
      </w:r>
    </w:p>
    <w:p w:rsidR="002B1873" w:rsidRPr="003150F9" w:rsidRDefault="002B1873" w:rsidP="003150F9">
      <w:pPr>
        <w:pStyle w:val="ListParagraph"/>
        <w:numPr>
          <w:ilvl w:val="0"/>
          <w:numId w:val="43"/>
        </w:numPr>
        <w:rPr>
          <w:rFonts w:ascii="Verdana" w:hAnsi="Verdana"/>
          <w:sz w:val="20"/>
          <w:szCs w:val="20"/>
        </w:rPr>
      </w:pPr>
      <w:r w:rsidRPr="003150F9">
        <w:rPr>
          <w:rFonts w:ascii="Verdana" w:hAnsi="Verdana"/>
          <w:sz w:val="20"/>
          <w:szCs w:val="20"/>
        </w:rPr>
        <w:t>Correctional Institution Vocational Education Association (CIVEA)</w:t>
      </w:r>
    </w:p>
    <w:p w:rsidR="002B1873" w:rsidRPr="003150F9" w:rsidRDefault="005F11FE" w:rsidP="003150F9">
      <w:pPr>
        <w:pStyle w:val="ListParagraph"/>
        <w:numPr>
          <w:ilvl w:val="0"/>
          <w:numId w:val="43"/>
        </w:numPr>
        <w:rPr>
          <w:rFonts w:ascii="Verdana" w:hAnsi="Verdana"/>
          <w:sz w:val="20"/>
          <w:szCs w:val="20"/>
        </w:rPr>
      </w:pPr>
      <w:r w:rsidRPr="003150F9">
        <w:rPr>
          <w:rFonts w:ascii="Verdana" w:hAnsi="Verdana"/>
          <w:sz w:val="20"/>
          <w:szCs w:val="20"/>
        </w:rPr>
        <w:t>Federation of State Cultural and Educational Professionals (FOSCEP)</w:t>
      </w:r>
    </w:p>
    <w:p w:rsidR="005F11FE" w:rsidRPr="003150F9" w:rsidRDefault="005F11FE" w:rsidP="002B1873">
      <w:pPr>
        <w:autoSpaceDE w:val="0"/>
        <w:autoSpaceDN w:val="0"/>
        <w:jc w:val="both"/>
        <w:rPr>
          <w:rFonts w:ascii="Verdana" w:hAnsi="Verdana"/>
          <w:sz w:val="20"/>
          <w:szCs w:val="20"/>
        </w:rPr>
      </w:pPr>
    </w:p>
    <w:p w:rsidR="005F11FE" w:rsidRDefault="005F11FE" w:rsidP="002B1873">
      <w:pPr>
        <w:autoSpaceDE w:val="0"/>
        <w:autoSpaceDN w:val="0"/>
        <w:jc w:val="both"/>
        <w:rPr>
          <w:rFonts w:ascii="Verdana" w:hAnsi="Verdana"/>
          <w:sz w:val="20"/>
          <w:szCs w:val="20"/>
        </w:rPr>
      </w:pPr>
      <w:r w:rsidRPr="003150F9">
        <w:rPr>
          <w:rFonts w:ascii="Verdana" w:hAnsi="Verdana"/>
          <w:sz w:val="20"/>
          <w:szCs w:val="20"/>
        </w:rPr>
        <w:t>In addition, the P</w:t>
      </w:r>
      <w:r w:rsidR="00FC1D74">
        <w:rPr>
          <w:rFonts w:ascii="Verdana" w:hAnsi="Verdana"/>
          <w:sz w:val="20"/>
          <w:szCs w:val="20"/>
        </w:rPr>
        <w:t xml:space="preserve">ublic </w:t>
      </w:r>
      <w:r w:rsidRPr="003150F9">
        <w:rPr>
          <w:rFonts w:ascii="Verdana" w:hAnsi="Verdana"/>
          <w:sz w:val="20"/>
          <w:szCs w:val="20"/>
        </w:rPr>
        <w:t>Utility Commission and employees in the following management bargaining units will have the Employee Contribu</w:t>
      </w:r>
      <w:r w:rsidR="002167FB">
        <w:rPr>
          <w:rFonts w:ascii="Verdana" w:hAnsi="Verdana"/>
          <w:sz w:val="20"/>
          <w:szCs w:val="20"/>
        </w:rPr>
        <w:t>tion Surcharge implemented effective January 1, 2017</w:t>
      </w:r>
      <w:r w:rsidRPr="003150F9">
        <w:rPr>
          <w:rFonts w:ascii="Verdana" w:hAnsi="Verdana"/>
          <w:sz w:val="20"/>
          <w:szCs w:val="20"/>
        </w:rPr>
        <w:t>:</w:t>
      </w:r>
    </w:p>
    <w:p w:rsidR="00E47F87" w:rsidRPr="003150F9" w:rsidRDefault="00E47F87" w:rsidP="002B1873">
      <w:pPr>
        <w:autoSpaceDE w:val="0"/>
        <w:autoSpaceDN w:val="0"/>
        <w:jc w:val="both"/>
        <w:rPr>
          <w:rFonts w:ascii="Verdana" w:hAnsi="Verdana"/>
          <w:sz w:val="20"/>
          <w:szCs w:val="20"/>
        </w:rPr>
      </w:pP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 xml:space="preserve">98 </w:t>
      </w:r>
      <w:r w:rsidRPr="003150F9">
        <w:rPr>
          <w:rFonts w:ascii="Verdana" w:hAnsi="Verdana"/>
          <w:sz w:val="20"/>
          <w:szCs w:val="20"/>
        </w:rPr>
        <w:tab/>
      </w:r>
      <w:r w:rsidRPr="003150F9">
        <w:rPr>
          <w:rFonts w:ascii="Verdana" w:hAnsi="Verdana"/>
          <w:sz w:val="20"/>
          <w:szCs w:val="20"/>
        </w:rPr>
        <w:tab/>
      </w:r>
      <w:r w:rsidRPr="003150F9">
        <w:rPr>
          <w:rFonts w:ascii="Verdana" w:hAnsi="Verdana"/>
          <w:sz w:val="20"/>
          <w:szCs w:val="20"/>
        </w:rPr>
        <w:tab/>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99</w:t>
      </w:r>
      <w:r w:rsidR="002B1873" w:rsidRPr="003150F9">
        <w:rPr>
          <w:rFonts w:ascii="Verdana" w:hAnsi="Verdana"/>
          <w:sz w:val="20"/>
          <w:szCs w:val="20"/>
        </w:rPr>
        <w:t xml:space="preserve"> </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A3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A8</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B3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C3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F3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G3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H3</w:t>
      </w:r>
    </w:p>
    <w:p w:rsidR="005F11FE" w:rsidRPr="003150F9" w:rsidRDefault="00817EAF" w:rsidP="003150F9">
      <w:pPr>
        <w:pStyle w:val="ListParagraph"/>
        <w:numPr>
          <w:ilvl w:val="0"/>
          <w:numId w:val="41"/>
        </w:numPr>
        <w:autoSpaceDE w:val="0"/>
        <w:autoSpaceDN w:val="0"/>
        <w:jc w:val="both"/>
        <w:rPr>
          <w:rFonts w:ascii="Verdana" w:hAnsi="Verdana"/>
          <w:sz w:val="20"/>
          <w:szCs w:val="20"/>
        </w:rPr>
      </w:pPr>
      <w:r>
        <w:rPr>
          <w:rFonts w:ascii="Verdana" w:hAnsi="Verdana"/>
          <w:sz w:val="20"/>
          <w:szCs w:val="20"/>
        </w:rPr>
        <w:t>J3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K3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K6</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lastRenderedPageBreak/>
        <w:t>M3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M8</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N3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P3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R3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Z3</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A5</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B5</w:t>
      </w:r>
    </w:p>
    <w:p w:rsidR="005F11FE" w:rsidRPr="003150F9" w:rsidRDefault="005F11FE"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S5</w:t>
      </w:r>
    </w:p>
    <w:p w:rsidR="005F11FE" w:rsidRPr="003150F9" w:rsidRDefault="002B1873"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W3</w:t>
      </w:r>
    </w:p>
    <w:p w:rsidR="002B1873" w:rsidRPr="003150F9" w:rsidRDefault="002B1873" w:rsidP="003150F9">
      <w:pPr>
        <w:pStyle w:val="ListParagraph"/>
        <w:numPr>
          <w:ilvl w:val="0"/>
          <w:numId w:val="41"/>
        </w:numPr>
        <w:autoSpaceDE w:val="0"/>
        <w:autoSpaceDN w:val="0"/>
        <w:jc w:val="both"/>
        <w:rPr>
          <w:rFonts w:ascii="Verdana" w:hAnsi="Verdana"/>
          <w:sz w:val="20"/>
          <w:szCs w:val="20"/>
        </w:rPr>
      </w:pPr>
      <w:r w:rsidRPr="003150F9">
        <w:rPr>
          <w:rFonts w:ascii="Verdana" w:hAnsi="Verdana"/>
          <w:sz w:val="20"/>
          <w:szCs w:val="20"/>
        </w:rPr>
        <w:t>J3</w:t>
      </w:r>
    </w:p>
    <w:p w:rsidR="002B1873" w:rsidRDefault="002B1873" w:rsidP="00B12AD2">
      <w:pPr>
        <w:rPr>
          <w:rFonts w:ascii="Verdana" w:hAnsi="Verdana" w:cs="Verdana"/>
          <w:sz w:val="20"/>
          <w:szCs w:val="20"/>
        </w:rPr>
      </w:pPr>
    </w:p>
    <w:p w:rsidR="002167FB" w:rsidRPr="002167FB" w:rsidRDefault="002167FB" w:rsidP="002167FB">
      <w:pPr>
        <w:pStyle w:val="NoSpacing"/>
        <w:rPr>
          <w:rFonts w:ascii="Verdana" w:hAnsi="Verdana" w:cs="Arial"/>
          <w:i/>
          <w:sz w:val="20"/>
          <w:szCs w:val="20"/>
        </w:rPr>
      </w:pPr>
      <w:r w:rsidRPr="002167FB">
        <w:rPr>
          <w:rFonts w:ascii="Verdana" w:hAnsi="Verdana" w:cs="Arial"/>
          <w:i/>
          <w:sz w:val="20"/>
          <w:szCs w:val="20"/>
        </w:rPr>
        <w:t>*Please note:  As contracts are ratified, the Employee Contribution Surcharge will be implemented pending contract language.</w:t>
      </w:r>
    </w:p>
    <w:p w:rsidR="002167FB" w:rsidRDefault="002167FB" w:rsidP="005F11FE">
      <w:pPr>
        <w:pStyle w:val="NoSpacing"/>
        <w:rPr>
          <w:rFonts w:ascii="Verdana" w:hAnsi="Verdana" w:cs="Arial"/>
          <w:sz w:val="20"/>
          <w:szCs w:val="20"/>
        </w:rPr>
      </w:pPr>
    </w:p>
    <w:p w:rsidR="005F11FE" w:rsidRDefault="005F11FE" w:rsidP="005F11FE">
      <w:pPr>
        <w:pStyle w:val="NoSpacing"/>
        <w:rPr>
          <w:rFonts w:ascii="Verdana" w:hAnsi="Verdana" w:cs="Arial"/>
          <w:sz w:val="20"/>
          <w:szCs w:val="20"/>
        </w:rPr>
      </w:pPr>
      <w:r>
        <w:rPr>
          <w:rFonts w:ascii="Verdana" w:hAnsi="Verdana" w:cs="Arial"/>
          <w:sz w:val="20"/>
          <w:szCs w:val="20"/>
        </w:rPr>
        <w:t>The Employer Contribution Surcharge rates for 201</w:t>
      </w:r>
      <w:r w:rsidR="00E47F87">
        <w:rPr>
          <w:rFonts w:ascii="Verdana" w:hAnsi="Verdana" w:cs="Arial"/>
          <w:sz w:val="20"/>
          <w:szCs w:val="20"/>
        </w:rPr>
        <w:t>7</w:t>
      </w:r>
      <w:r>
        <w:rPr>
          <w:rFonts w:ascii="Verdana" w:hAnsi="Verdana" w:cs="Arial"/>
          <w:sz w:val="20"/>
          <w:szCs w:val="20"/>
        </w:rPr>
        <w:t xml:space="preserve"> are as follows:</w:t>
      </w:r>
    </w:p>
    <w:p w:rsidR="00E47F87" w:rsidRDefault="00E47F87" w:rsidP="005F11FE">
      <w:pPr>
        <w:pStyle w:val="NoSpacing"/>
        <w:rPr>
          <w:rFonts w:ascii="Verdana" w:hAnsi="Verdana" w:cs="Arial"/>
          <w:sz w:val="20"/>
          <w:szCs w:val="20"/>
        </w:rPr>
      </w:pPr>
    </w:p>
    <w:p w:rsidR="005F11FE" w:rsidRDefault="00E47F87" w:rsidP="003150F9">
      <w:pPr>
        <w:pStyle w:val="NoSpacing"/>
        <w:numPr>
          <w:ilvl w:val="0"/>
          <w:numId w:val="44"/>
        </w:numPr>
        <w:rPr>
          <w:rFonts w:ascii="Verdana" w:hAnsi="Verdana" w:cs="Arial"/>
          <w:sz w:val="20"/>
          <w:szCs w:val="20"/>
        </w:rPr>
      </w:pPr>
      <w:r>
        <w:rPr>
          <w:rFonts w:ascii="Verdana" w:hAnsi="Verdana" w:cs="Arial"/>
          <w:sz w:val="20"/>
          <w:szCs w:val="20"/>
        </w:rPr>
        <w:t xml:space="preserve">PEBTF </w:t>
      </w:r>
      <w:r w:rsidR="005F11FE">
        <w:rPr>
          <w:rFonts w:ascii="Verdana" w:hAnsi="Verdana" w:cs="Arial"/>
          <w:sz w:val="20"/>
          <w:szCs w:val="20"/>
        </w:rPr>
        <w:t>benefit enrollment - $62.19</w:t>
      </w:r>
    </w:p>
    <w:p w:rsidR="00F83E5D" w:rsidRDefault="005F11FE" w:rsidP="003150F9">
      <w:pPr>
        <w:pStyle w:val="NoSpacing"/>
        <w:numPr>
          <w:ilvl w:val="0"/>
          <w:numId w:val="44"/>
        </w:numPr>
        <w:rPr>
          <w:rFonts w:ascii="Verdana" w:hAnsi="Verdana" w:cs="Arial"/>
          <w:sz w:val="20"/>
          <w:szCs w:val="20"/>
        </w:rPr>
      </w:pPr>
      <w:r>
        <w:rPr>
          <w:rFonts w:ascii="Verdana" w:hAnsi="Verdana" w:cs="Arial"/>
          <w:sz w:val="20"/>
          <w:szCs w:val="20"/>
        </w:rPr>
        <w:t>Bronze</w:t>
      </w:r>
      <w:r w:rsidR="00F83E5D">
        <w:rPr>
          <w:rFonts w:ascii="Verdana" w:hAnsi="Verdana" w:cs="Arial"/>
          <w:sz w:val="20"/>
          <w:szCs w:val="20"/>
        </w:rPr>
        <w:t xml:space="preserve"> Plan benefit enrollment - $55.89</w:t>
      </w:r>
    </w:p>
    <w:p w:rsidR="00F83E5D" w:rsidRDefault="00F83E5D" w:rsidP="003150F9">
      <w:pPr>
        <w:pStyle w:val="NoSpacing"/>
        <w:rPr>
          <w:rFonts w:ascii="Verdana" w:hAnsi="Verdana" w:cs="Arial"/>
          <w:sz w:val="20"/>
          <w:szCs w:val="20"/>
        </w:rPr>
      </w:pPr>
    </w:p>
    <w:p w:rsidR="005F11FE" w:rsidRDefault="00E423AD" w:rsidP="003150F9">
      <w:pPr>
        <w:pStyle w:val="NoSpacing"/>
        <w:rPr>
          <w:rFonts w:asciiTheme="minorHAnsi" w:hAnsiTheme="minorHAnsi" w:cs="Arial"/>
        </w:rPr>
      </w:pPr>
      <w:r>
        <w:rPr>
          <w:rFonts w:ascii="Verdana" w:hAnsi="Verdana" w:cs="Arial"/>
          <w:sz w:val="20"/>
          <w:szCs w:val="20"/>
        </w:rPr>
        <w:t>E</w:t>
      </w:r>
      <w:r w:rsidR="00F83E5D">
        <w:rPr>
          <w:rFonts w:ascii="Verdana" w:hAnsi="Verdana" w:cs="Arial"/>
          <w:sz w:val="20"/>
          <w:szCs w:val="20"/>
        </w:rPr>
        <w:t xml:space="preserve">mployees </w:t>
      </w:r>
      <w:r w:rsidR="00F52B85">
        <w:rPr>
          <w:rFonts w:ascii="Verdana" w:hAnsi="Verdana" w:cs="Arial"/>
          <w:sz w:val="20"/>
          <w:szCs w:val="20"/>
        </w:rPr>
        <w:t xml:space="preserve">who are in a union or bargaining unit who is having the Employee Contribution Surcharge implemented effective 01/01/2017 and is </w:t>
      </w:r>
      <w:r w:rsidR="00F83E5D">
        <w:rPr>
          <w:rFonts w:ascii="Verdana" w:hAnsi="Verdana" w:cs="Arial"/>
          <w:sz w:val="20"/>
          <w:szCs w:val="20"/>
        </w:rPr>
        <w:t xml:space="preserve">in pay area Z1/T1/Z2 will incur the Employee Contribution Surcharge for pay date 01/27/2017.  </w:t>
      </w:r>
      <w:r>
        <w:rPr>
          <w:rFonts w:ascii="Verdana" w:hAnsi="Verdana" w:cs="Arial"/>
          <w:sz w:val="20"/>
          <w:szCs w:val="20"/>
        </w:rPr>
        <w:t>E</w:t>
      </w:r>
      <w:r w:rsidR="00F83E5D">
        <w:rPr>
          <w:rFonts w:ascii="Verdana" w:hAnsi="Verdana" w:cs="Arial"/>
          <w:sz w:val="20"/>
          <w:szCs w:val="20"/>
        </w:rPr>
        <w:t xml:space="preserve">mployees in pay areas Z3/T3 will incur the Employee Contribution surcharge for pay date 01/20/2017.  </w:t>
      </w:r>
      <w:r w:rsidR="00F83E5D" w:rsidRPr="00247D48">
        <w:rPr>
          <w:rFonts w:asciiTheme="minorHAnsi" w:hAnsiTheme="minorHAnsi" w:cs="Arial"/>
        </w:rPr>
        <w:t xml:space="preserve"> </w:t>
      </w:r>
    </w:p>
    <w:p w:rsidR="00F83E5D" w:rsidRDefault="00F83E5D" w:rsidP="003150F9">
      <w:pPr>
        <w:pStyle w:val="NoSpacing"/>
        <w:rPr>
          <w:rFonts w:asciiTheme="minorHAnsi" w:hAnsiTheme="minorHAnsi" w:cs="Arial"/>
        </w:rPr>
      </w:pPr>
    </w:p>
    <w:p w:rsidR="002167FB" w:rsidRPr="002167FB" w:rsidRDefault="002167FB" w:rsidP="003150F9">
      <w:pPr>
        <w:pStyle w:val="NoSpacing"/>
        <w:rPr>
          <w:rFonts w:ascii="Verdana" w:hAnsi="Verdana" w:cs="Arial"/>
          <w:b/>
          <w:sz w:val="20"/>
          <w:szCs w:val="20"/>
        </w:rPr>
      </w:pPr>
      <w:r w:rsidRPr="002167FB">
        <w:rPr>
          <w:rFonts w:ascii="Verdana" w:hAnsi="Verdana" w:cs="Arial"/>
          <w:b/>
          <w:sz w:val="20"/>
          <w:szCs w:val="20"/>
        </w:rPr>
        <w:t>PEBTF Pay Statement</w:t>
      </w:r>
    </w:p>
    <w:p w:rsidR="002B1873" w:rsidRPr="006B18F9" w:rsidRDefault="002B1873" w:rsidP="00B12AD2">
      <w:pPr>
        <w:rPr>
          <w:rFonts w:ascii="Verdana" w:hAnsi="Verdana" w:cs="Verdana"/>
          <w:sz w:val="20"/>
          <w:szCs w:val="20"/>
        </w:rPr>
      </w:pPr>
    </w:p>
    <w:p w:rsidR="00434823" w:rsidRDefault="00E02E6B" w:rsidP="00B12AD2">
      <w:pPr>
        <w:rPr>
          <w:rFonts w:ascii="Verdana" w:hAnsi="Verdana" w:cs="Verdana"/>
          <w:sz w:val="20"/>
          <w:szCs w:val="20"/>
        </w:rPr>
      </w:pPr>
      <w:r>
        <w:rPr>
          <w:rFonts w:ascii="Verdana" w:hAnsi="Verdana" w:cs="Verdana"/>
          <w:sz w:val="20"/>
          <w:szCs w:val="20"/>
        </w:rPr>
        <w:t xml:space="preserve">Below is a screen shot of how the Employee Contribution Surcharge will appear on the remuneration statement for an employee </w:t>
      </w:r>
      <w:r w:rsidR="00434823">
        <w:rPr>
          <w:rFonts w:ascii="Verdana" w:hAnsi="Verdana" w:cs="Verdana"/>
          <w:sz w:val="20"/>
          <w:szCs w:val="20"/>
        </w:rPr>
        <w:t>enrolled in PEBTF benefits.</w:t>
      </w:r>
      <w:r w:rsidR="003C15FE">
        <w:rPr>
          <w:rFonts w:ascii="Verdana" w:hAnsi="Verdana" w:cs="Verdana"/>
          <w:sz w:val="20"/>
          <w:szCs w:val="20"/>
        </w:rPr>
        <w:t xml:space="preserve">  The Employee Contribution Surcharge will appear under the “Deductions” </w:t>
      </w:r>
      <w:r w:rsidR="008F45A4">
        <w:rPr>
          <w:rFonts w:ascii="Verdana" w:hAnsi="Verdana" w:cs="Verdana"/>
          <w:sz w:val="20"/>
          <w:szCs w:val="20"/>
        </w:rPr>
        <w:t>section</w:t>
      </w:r>
      <w:r w:rsidR="003C15FE">
        <w:rPr>
          <w:rFonts w:ascii="Verdana" w:hAnsi="Verdana" w:cs="Verdana"/>
          <w:sz w:val="20"/>
          <w:szCs w:val="20"/>
        </w:rPr>
        <w:t xml:space="preserve"> of the remuneration statement.  </w:t>
      </w:r>
      <w:r w:rsidR="00434823">
        <w:rPr>
          <w:rFonts w:ascii="Verdana" w:hAnsi="Verdana" w:cs="Verdana"/>
          <w:sz w:val="20"/>
          <w:szCs w:val="20"/>
        </w:rPr>
        <w:t>The text on the remuneration statement will appear as “EE Contribution Surcharge”</w:t>
      </w:r>
      <w:r w:rsidR="00E423AD">
        <w:rPr>
          <w:rFonts w:ascii="Verdana" w:hAnsi="Verdana" w:cs="Verdana"/>
          <w:sz w:val="20"/>
          <w:szCs w:val="20"/>
        </w:rPr>
        <w:t>.</w:t>
      </w:r>
      <w:r w:rsidR="00434823">
        <w:rPr>
          <w:rFonts w:ascii="Verdana" w:hAnsi="Verdana" w:cs="Verdana"/>
          <w:sz w:val="20"/>
          <w:szCs w:val="20"/>
        </w:rPr>
        <w:t xml:space="preserve"> </w:t>
      </w:r>
    </w:p>
    <w:p w:rsidR="00434823" w:rsidRDefault="00434823" w:rsidP="00B12AD2">
      <w:pPr>
        <w:rPr>
          <w:rFonts w:ascii="Verdana" w:hAnsi="Verdana" w:cs="Verdana"/>
          <w:sz w:val="20"/>
          <w:szCs w:val="20"/>
        </w:rPr>
      </w:pPr>
    </w:p>
    <w:p w:rsidR="00434823" w:rsidRDefault="00434823" w:rsidP="00B12AD2">
      <w:pPr>
        <w:rPr>
          <w:rFonts w:ascii="Verdana" w:hAnsi="Verdana" w:cs="Verdana"/>
          <w:sz w:val="20"/>
          <w:szCs w:val="20"/>
        </w:rPr>
      </w:pPr>
      <w:r>
        <w:rPr>
          <w:noProof/>
        </w:rPr>
        <mc:AlternateContent>
          <mc:Choice Requires="wps">
            <w:drawing>
              <wp:anchor distT="0" distB="0" distL="114300" distR="114300" simplePos="0" relativeHeight="251659264" behindDoc="0" locked="0" layoutInCell="1" allowOverlap="1" wp14:anchorId="7746BE7B" wp14:editId="7006696B">
                <wp:simplePos x="0" y="0"/>
                <wp:positionH relativeFrom="column">
                  <wp:posOffset>-120316</wp:posOffset>
                </wp:positionH>
                <wp:positionV relativeFrom="paragraph">
                  <wp:posOffset>260584</wp:posOffset>
                </wp:positionV>
                <wp:extent cx="6112042" cy="264695"/>
                <wp:effectExtent l="19050" t="19050" r="41275" b="40640"/>
                <wp:wrapNone/>
                <wp:docPr id="1" name="Rectangle 1"/>
                <wp:cNvGraphicFramePr/>
                <a:graphic xmlns:a="http://schemas.openxmlformats.org/drawingml/2006/main">
                  <a:graphicData uri="http://schemas.microsoft.com/office/word/2010/wordprocessingShape">
                    <wps:wsp>
                      <wps:cNvSpPr/>
                      <wps:spPr>
                        <a:xfrm>
                          <a:off x="0" y="0"/>
                          <a:ext cx="6112042" cy="264695"/>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35DB0" id="Rectangle 1" o:spid="_x0000_s1026" style="position:absolute;margin-left:-9.45pt;margin-top:20.5pt;width:481.25pt;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" filled="f" strokecolor="#c00000" strokeweight="4.5pt"/>
            </w:pict>
          </mc:Fallback>
        </mc:AlternateContent>
      </w:r>
      <w:r w:rsidRPr="00EC6881">
        <w:rPr>
          <w:noProof/>
        </w:rPr>
        <w:drawing>
          <wp:inline distT="0" distB="0" distL="0" distR="0" wp14:anchorId="41072E13" wp14:editId="4B7F60A6">
            <wp:extent cx="5943600" cy="14674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67485"/>
                    </a:xfrm>
                    <a:prstGeom prst="rect">
                      <a:avLst/>
                    </a:prstGeom>
                  </pic:spPr>
                </pic:pic>
              </a:graphicData>
            </a:graphic>
          </wp:inline>
        </w:drawing>
      </w:r>
    </w:p>
    <w:p w:rsidR="00434823" w:rsidRDefault="00434823" w:rsidP="00B12AD2">
      <w:pPr>
        <w:rPr>
          <w:rFonts w:ascii="Verdana" w:hAnsi="Verdana" w:cs="Verdana"/>
          <w:sz w:val="20"/>
          <w:szCs w:val="20"/>
        </w:rPr>
      </w:pPr>
    </w:p>
    <w:p w:rsidR="002167FB" w:rsidRDefault="002167FB" w:rsidP="00B12AD2">
      <w:pPr>
        <w:rPr>
          <w:rFonts w:ascii="Verdana" w:hAnsi="Verdana" w:cs="Verdana"/>
          <w:sz w:val="20"/>
          <w:szCs w:val="20"/>
        </w:rPr>
      </w:pPr>
    </w:p>
    <w:p w:rsidR="002167FB" w:rsidRDefault="002167FB" w:rsidP="00B12AD2">
      <w:pPr>
        <w:rPr>
          <w:rFonts w:ascii="Verdana" w:hAnsi="Verdana" w:cs="Verdana"/>
          <w:sz w:val="20"/>
          <w:szCs w:val="20"/>
        </w:rPr>
      </w:pPr>
    </w:p>
    <w:p w:rsidR="002167FB" w:rsidRDefault="002167FB" w:rsidP="00B12AD2">
      <w:pPr>
        <w:rPr>
          <w:rFonts w:ascii="Verdana" w:hAnsi="Verdana" w:cs="Verdana"/>
          <w:b/>
          <w:sz w:val="20"/>
          <w:szCs w:val="20"/>
        </w:rPr>
      </w:pPr>
    </w:p>
    <w:p w:rsidR="002167FB" w:rsidRDefault="002167FB" w:rsidP="00B12AD2">
      <w:pPr>
        <w:rPr>
          <w:rFonts w:ascii="Verdana" w:hAnsi="Verdana" w:cs="Verdana"/>
          <w:b/>
          <w:sz w:val="20"/>
          <w:szCs w:val="20"/>
        </w:rPr>
      </w:pPr>
    </w:p>
    <w:p w:rsidR="002167FB" w:rsidRDefault="002167FB" w:rsidP="00B12AD2">
      <w:pPr>
        <w:rPr>
          <w:rFonts w:ascii="Verdana" w:hAnsi="Verdana" w:cs="Verdana"/>
          <w:b/>
          <w:sz w:val="20"/>
          <w:szCs w:val="20"/>
        </w:rPr>
      </w:pPr>
    </w:p>
    <w:p w:rsidR="002167FB" w:rsidRPr="002167FB" w:rsidRDefault="002167FB" w:rsidP="00B12AD2">
      <w:pPr>
        <w:rPr>
          <w:rFonts w:ascii="Verdana" w:hAnsi="Verdana" w:cs="Verdana"/>
          <w:b/>
          <w:sz w:val="20"/>
          <w:szCs w:val="20"/>
        </w:rPr>
      </w:pPr>
      <w:r w:rsidRPr="002167FB">
        <w:rPr>
          <w:rFonts w:ascii="Verdana" w:hAnsi="Verdana" w:cs="Verdana"/>
          <w:b/>
          <w:sz w:val="20"/>
          <w:szCs w:val="20"/>
        </w:rPr>
        <w:t>Bronze Plan Pay Statement</w:t>
      </w:r>
    </w:p>
    <w:p w:rsidR="002167FB" w:rsidRDefault="002167FB" w:rsidP="00B12AD2">
      <w:pPr>
        <w:rPr>
          <w:rFonts w:ascii="Verdana" w:hAnsi="Verdana" w:cs="Verdana"/>
          <w:sz w:val="20"/>
          <w:szCs w:val="20"/>
        </w:rPr>
      </w:pPr>
    </w:p>
    <w:p w:rsidR="00434823" w:rsidRDefault="00434823" w:rsidP="00B12AD2">
      <w:pPr>
        <w:rPr>
          <w:rFonts w:ascii="Verdana" w:hAnsi="Verdana" w:cs="Verdana"/>
          <w:sz w:val="20"/>
          <w:szCs w:val="20"/>
        </w:rPr>
      </w:pPr>
      <w:r>
        <w:rPr>
          <w:rFonts w:ascii="Verdana" w:hAnsi="Verdana" w:cs="Verdana"/>
          <w:sz w:val="20"/>
          <w:szCs w:val="20"/>
        </w:rPr>
        <w:t xml:space="preserve">Below is a screen show of how the Employee Contribution Surcharge will appear on the remuneration statement </w:t>
      </w:r>
      <w:r w:rsidR="00F52B85">
        <w:rPr>
          <w:rFonts w:ascii="Verdana" w:hAnsi="Verdana" w:cs="Verdana"/>
          <w:sz w:val="20"/>
          <w:szCs w:val="20"/>
        </w:rPr>
        <w:t xml:space="preserve">under </w:t>
      </w:r>
      <w:r w:rsidR="008F45A4">
        <w:rPr>
          <w:rFonts w:ascii="Verdana" w:hAnsi="Verdana" w:cs="Verdana"/>
          <w:sz w:val="20"/>
          <w:szCs w:val="20"/>
        </w:rPr>
        <w:t xml:space="preserve">the “Deductions” section </w:t>
      </w:r>
      <w:r>
        <w:rPr>
          <w:rFonts w:ascii="Verdana" w:hAnsi="Verdana" w:cs="Verdana"/>
          <w:sz w:val="20"/>
          <w:szCs w:val="20"/>
        </w:rPr>
        <w:t>for an employee enrolled in the Bronze Plan who did not participate in the Wellness Screening.  The text on the remuneration statement will still appear as “EE Contribution Surcharge”, however, the surcharge amount will be $55.89 for Bronze Plan enrollment.</w:t>
      </w:r>
    </w:p>
    <w:p w:rsidR="00434823" w:rsidRDefault="00434823" w:rsidP="00B12AD2">
      <w:pPr>
        <w:rPr>
          <w:rFonts w:ascii="Verdana" w:hAnsi="Verdana" w:cs="Verdana"/>
          <w:sz w:val="20"/>
          <w:szCs w:val="20"/>
        </w:rPr>
      </w:pPr>
    </w:p>
    <w:p w:rsidR="00434823" w:rsidRDefault="00434823" w:rsidP="00B12AD2">
      <w:pPr>
        <w:rPr>
          <w:rFonts w:ascii="Verdana" w:hAnsi="Verdana" w:cs="Verdana"/>
          <w:sz w:val="20"/>
          <w:szCs w:val="20"/>
        </w:rPr>
      </w:pPr>
      <w:r>
        <w:rPr>
          <w:noProof/>
        </w:rPr>
        <mc:AlternateContent>
          <mc:Choice Requires="wps">
            <w:drawing>
              <wp:anchor distT="0" distB="0" distL="114300" distR="114300" simplePos="0" relativeHeight="251660288" behindDoc="0" locked="0" layoutInCell="1" allowOverlap="1" wp14:anchorId="70ABA0A9" wp14:editId="033F63DE">
                <wp:simplePos x="0" y="0"/>
                <wp:positionH relativeFrom="column">
                  <wp:posOffset>-48126</wp:posOffset>
                </wp:positionH>
                <wp:positionV relativeFrom="paragraph">
                  <wp:posOffset>239596</wp:posOffset>
                </wp:positionV>
                <wp:extent cx="5979694" cy="312821"/>
                <wp:effectExtent l="19050" t="19050" r="40640" b="30480"/>
                <wp:wrapNone/>
                <wp:docPr id="2" name="Rectangle 2"/>
                <wp:cNvGraphicFramePr/>
                <a:graphic xmlns:a="http://schemas.openxmlformats.org/drawingml/2006/main">
                  <a:graphicData uri="http://schemas.microsoft.com/office/word/2010/wordprocessingShape">
                    <wps:wsp>
                      <wps:cNvSpPr/>
                      <wps:spPr>
                        <a:xfrm>
                          <a:off x="0" y="0"/>
                          <a:ext cx="5979694" cy="312821"/>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1C88BC" id="Rectangle 2" o:spid="_x0000_s1026" style="position:absolute;margin-left:-3.8pt;margin-top:18.85pt;width:470.85pt;height:2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" filled="f" strokecolor="#c00000" strokeweight="4.5pt"/>
            </w:pict>
          </mc:Fallback>
        </mc:AlternateContent>
      </w:r>
      <w:r w:rsidRPr="00EF4313">
        <w:rPr>
          <w:noProof/>
        </w:rPr>
        <w:drawing>
          <wp:inline distT="0" distB="0" distL="0" distR="0" wp14:anchorId="31E6E17D" wp14:editId="016547D7">
            <wp:extent cx="5943600" cy="143446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34465"/>
                    </a:xfrm>
                    <a:prstGeom prst="rect">
                      <a:avLst/>
                    </a:prstGeom>
                  </pic:spPr>
                </pic:pic>
              </a:graphicData>
            </a:graphic>
          </wp:inline>
        </w:drawing>
      </w:r>
    </w:p>
    <w:p w:rsidR="00434823" w:rsidRDefault="00434823" w:rsidP="00B12AD2">
      <w:pPr>
        <w:rPr>
          <w:rFonts w:ascii="Verdana" w:hAnsi="Verdana" w:cs="Verdana"/>
          <w:sz w:val="20"/>
          <w:szCs w:val="20"/>
        </w:rPr>
      </w:pPr>
    </w:p>
    <w:p w:rsidR="002167FB" w:rsidRPr="002167FB" w:rsidRDefault="002167FB" w:rsidP="00B12AD2">
      <w:pPr>
        <w:rPr>
          <w:rFonts w:ascii="Verdana" w:hAnsi="Verdana" w:cs="Verdana"/>
          <w:b/>
          <w:sz w:val="20"/>
          <w:szCs w:val="20"/>
        </w:rPr>
      </w:pPr>
      <w:r w:rsidRPr="002167FB">
        <w:rPr>
          <w:rFonts w:ascii="Verdana" w:hAnsi="Verdana" w:cs="Verdana"/>
          <w:b/>
          <w:sz w:val="20"/>
          <w:szCs w:val="20"/>
        </w:rPr>
        <w:t>Partial or No Surcharge on Pay Statement</w:t>
      </w:r>
    </w:p>
    <w:p w:rsidR="002167FB" w:rsidRDefault="002167FB" w:rsidP="00B12AD2">
      <w:pPr>
        <w:rPr>
          <w:rFonts w:ascii="Verdana" w:hAnsi="Verdana" w:cs="Verdana"/>
          <w:sz w:val="20"/>
          <w:szCs w:val="20"/>
        </w:rPr>
      </w:pPr>
    </w:p>
    <w:p w:rsidR="00453B8D" w:rsidRDefault="003C15FE" w:rsidP="00B12AD2">
      <w:pPr>
        <w:rPr>
          <w:rFonts w:ascii="Verdana" w:hAnsi="Verdana" w:cs="Verdana"/>
          <w:sz w:val="20"/>
          <w:szCs w:val="20"/>
        </w:rPr>
      </w:pPr>
      <w:r>
        <w:rPr>
          <w:rFonts w:ascii="Verdana" w:hAnsi="Verdana" w:cs="Verdana"/>
          <w:sz w:val="20"/>
          <w:szCs w:val="20"/>
        </w:rPr>
        <w:t xml:space="preserve">There may be cases in which the employee may not see the full Employee Contribution Surcharge </w:t>
      </w:r>
      <w:r w:rsidR="00453B8D">
        <w:rPr>
          <w:rFonts w:ascii="Verdana" w:hAnsi="Verdana" w:cs="Verdana"/>
          <w:sz w:val="20"/>
          <w:szCs w:val="20"/>
        </w:rPr>
        <w:t xml:space="preserve">(EE Contribution Surcharge) or no surcharge </w:t>
      </w:r>
      <w:r w:rsidR="008F45A4">
        <w:rPr>
          <w:rFonts w:ascii="Verdana" w:hAnsi="Verdana" w:cs="Verdana"/>
          <w:sz w:val="20"/>
          <w:szCs w:val="20"/>
        </w:rPr>
        <w:t xml:space="preserve">amount </w:t>
      </w:r>
      <w:r w:rsidR="00453B8D">
        <w:rPr>
          <w:rFonts w:ascii="Verdana" w:hAnsi="Verdana" w:cs="Verdana"/>
          <w:sz w:val="20"/>
          <w:szCs w:val="20"/>
        </w:rPr>
        <w:t>on the</w:t>
      </w:r>
      <w:r w:rsidR="00F52B85">
        <w:rPr>
          <w:rFonts w:ascii="Verdana" w:hAnsi="Verdana" w:cs="Verdana"/>
          <w:sz w:val="20"/>
          <w:szCs w:val="20"/>
        </w:rPr>
        <w:t>ir</w:t>
      </w:r>
      <w:r w:rsidR="00453B8D">
        <w:rPr>
          <w:rFonts w:ascii="Verdana" w:hAnsi="Verdana" w:cs="Verdana"/>
          <w:sz w:val="20"/>
          <w:szCs w:val="20"/>
        </w:rPr>
        <w:t xml:space="preserve"> remuneration statement.  These cases</w:t>
      </w:r>
      <w:r w:rsidR="00F52B85">
        <w:rPr>
          <w:rFonts w:ascii="Verdana" w:hAnsi="Verdana" w:cs="Verdana"/>
          <w:sz w:val="20"/>
          <w:szCs w:val="20"/>
        </w:rPr>
        <w:t xml:space="preserve"> occur</w:t>
      </w:r>
      <w:r w:rsidR="00453B8D">
        <w:rPr>
          <w:rFonts w:ascii="Verdana" w:hAnsi="Verdana" w:cs="Verdana"/>
          <w:sz w:val="20"/>
          <w:szCs w:val="20"/>
        </w:rPr>
        <w:t xml:space="preserve"> </w:t>
      </w:r>
      <w:r w:rsidR="00F52B85">
        <w:rPr>
          <w:rFonts w:ascii="Verdana" w:hAnsi="Verdana" w:cs="Verdana"/>
          <w:sz w:val="20"/>
          <w:szCs w:val="20"/>
        </w:rPr>
        <w:t>when</w:t>
      </w:r>
      <w:r w:rsidR="00453B8D">
        <w:rPr>
          <w:rFonts w:ascii="Verdana" w:hAnsi="Verdana" w:cs="Verdana"/>
          <w:sz w:val="20"/>
          <w:szCs w:val="20"/>
        </w:rPr>
        <w:t xml:space="preserve"> the employee’s benefit costs (i.e. Employee Contribution Surcharge, Employee Pre-Tax Medical Hospital Percentage, Medical Buy Up cost, Dependent Buy-Up cost, and P</w:t>
      </w:r>
      <w:r w:rsidR="002167FB">
        <w:rPr>
          <w:rFonts w:ascii="Verdana" w:hAnsi="Verdana" w:cs="Verdana"/>
          <w:sz w:val="20"/>
          <w:szCs w:val="20"/>
        </w:rPr>
        <w:t>rescription Buy-up Cost) exceed</w:t>
      </w:r>
      <w:r w:rsidR="00453B8D">
        <w:rPr>
          <w:rFonts w:ascii="Verdana" w:hAnsi="Verdana" w:cs="Verdana"/>
          <w:sz w:val="20"/>
          <w:szCs w:val="20"/>
        </w:rPr>
        <w:t xml:space="preserve"> the benefit plan premium.  In these </w:t>
      </w:r>
      <w:proofErr w:type="gramStart"/>
      <w:r w:rsidR="00453B8D">
        <w:rPr>
          <w:rFonts w:ascii="Verdana" w:hAnsi="Verdana" w:cs="Verdana"/>
          <w:sz w:val="20"/>
          <w:szCs w:val="20"/>
        </w:rPr>
        <w:t>cases</w:t>
      </w:r>
      <w:proofErr w:type="gramEnd"/>
      <w:r w:rsidR="00E423AD">
        <w:rPr>
          <w:rFonts w:ascii="Verdana" w:hAnsi="Verdana" w:cs="Verdana"/>
          <w:sz w:val="20"/>
          <w:szCs w:val="20"/>
        </w:rPr>
        <w:t xml:space="preserve"> </w:t>
      </w:r>
      <w:r w:rsidR="00F52B85">
        <w:rPr>
          <w:rFonts w:ascii="Verdana" w:hAnsi="Verdana" w:cs="Verdana"/>
          <w:sz w:val="20"/>
          <w:szCs w:val="20"/>
        </w:rPr>
        <w:t>(</w:t>
      </w:r>
      <w:r w:rsidR="00E423AD">
        <w:rPr>
          <w:rFonts w:ascii="Verdana" w:hAnsi="Verdana" w:cs="Verdana"/>
          <w:sz w:val="20"/>
          <w:szCs w:val="20"/>
        </w:rPr>
        <w:t>due to the EEOC ruling</w:t>
      </w:r>
      <w:r w:rsidR="00F52B85">
        <w:rPr>
          <w:rFonts w:ascii="Verdana" w:hAnsi="Verdana" w:cs="Verdana"/>
          <w:sz w:val="20"/>
          <w:szCs w:val="20"/>
        </w:rPr>
        <w:t>)</w:t>
      </w:r>
      <w:r w:rsidR="00453B8D">
        <w:rPr>
          <w:rFonts w:ascii="Verdana" w:hAnsi="Verdana" w:cs="Verdana"/>
          <w:sz w:val="20"/>
          <w:szCs w:val="20"/>
        </w:rPr>
        <w:t>, the employee may have an adjustment to their Employee Contribution Surcharge and/or Employee Pre-Tax Medical Hospital Percentage</w:t>
      </w:r>
      <w:r w:rsidR="00E423AD">
        <w:rPr>
          <w:rFonts w:ascii="Verdana" w:hAnsi="Verdana" w:cs="Verdana"/>
          <w:sz w:val="20"/>
          <w:szCs w:val="20"/>
        </w:rPr>
        <w:t xml:space="preserve">. This adjustment </w:t>
      </w:r>
      <w:r w:rsidR="00453B8D">
        <w:rPr>
          <w:rFonts w:ascii="Verdana" w:hAnsi="Verdana" w:cs="Verdana"/>
          <w:sz w:val="20"/>
          <w:szCs w:val="20"/>
        </w:rPr>
        <w:t>would appear on the employee’s remuneration statement</w:t>
      </w:r>
      <w:r w:rsidR="00E423AD">
        <w:rPr>
          <w:rFonts w:ascii="Verdana" w:hAnsi="Verdana" w:cs="Verdana"/>
          <w:sz w:val="20"/>
          <w:szCs w:val="20"/>
        </w:rPr>
        <w:t xml:space="preserve"> under the “Deductions” section</w:t>
      </w:r>
      <w:r w:rsidR="00453B8D">
        <w:rPr>
          <w:rFonts w:ascii="Verdana" w:hAnsi="Verdana" w:cs="Verdana"/>
          <w:sz w:val="20"/>
          <w:szCs w:val="20"/>
        </w:rPr>
        <w:t>.</w:t>
      </w:r>
    </w:p>
    <w:p w:rsidR="006A2AA1" w:rsidRDefault="006A2AA1" w:rsidP="00B12AD2">
      <w:pPr>
        <w:rPr>
          <w:rFonts w:ascii="Verdana" w:hAnsi="Verdana" w:cs="Verdana"/>
          <w:sz w:val="20"/>
          <w:szCs w:val="20"/>
        </w:rPr>
      </w:pPr>
    </w:p>
    <w:p w:rsidR="00960CE1" w:rsidRDefault="00453B8D" w:rsidP="00960CE1">
      <w:pPr>
        <w:rPr>
          <w:rFonts w:ascii="Verdana" w:hAnsi="Verdana" w:cs="Verdana"/>
          <w:sz w:val="20"/>
          <w:szCs w:val="20"/>
        </w:rPr>
      </w:pPr>
      <w:r>
        <w:rPr>
          <w:rFonts w:ascii="Verdana" w:hAnsi="Verdana" w:cs="Verdana"/>
          <w:sz w:val="20"/>
          <w:szCs w:val="20"/>
        </w:rPr>
        <w:t>In Scenario #1</w:t>
      </w:r>
      <w:r w:rsidR="006A2AA1">
        <w:rPr>
          <w:rFonts w:ascii="Verdana" w:hAnsi="Verdana" w:cs="Verdana"/>
          <w:sz w:val="20"/>
          <w:szCs w:val="20"/>
        </w:rPr>
        <w:t xml:space="preserve"> (shown</w:t>
      </w:r>
      <w:r>
        <w:rPr>
          <w:rFonts w:ascii="Verdana" w:hAnsi="Verdana" w:cs="Verdana"/>
          <w:sz w:val="20"/>
          <w:szCs w:val="20"/>
        </w:rPr>
        <w:t xml:space="preserve"> below</w:t>
      </w:r>
      <w:r w:rsidR="006A2AA1">
        <w:rPr>
          <w:rFonts w:ascii="Verdana" w:hAnsi="Verdana" w:cs="Verdana"/>
          <w:sz w:val="20"/>
          <w:szCs w:val="20"/>
        </w:rPr>
        <w:t>)</w:t>
      </w:r>
      <w:r>
        <w:rPr>
          <w:rFonts w:ascii="Verdana" w:hAnsi="Verdana" w:cs="Verdana"/>
          <w:sz w:val="20"/>
          <w:szCs w:val="20"/>
        </w:rPr>
        <w:t xml:space="preserve">, </w:t>
      </w:r>
      <w:r w:rsidR="001B397E">
        <w:rPr>
          <w:rFonts w:ascii="Verdana" w:hAnsi="Verdana" w:cs="Verdana"/>
          <w:sz w:val="20"/>
          <w:szCs w:val="20"/>
        </w:rPr>
        <w:t>the employee’s benefit costs exceed the benefit premium amount.  On the remuneration statement, the employee does not see an Employee Contribution</w:t>
      </w:r>
      <w:r w:rsidR="00960CE1">
        <w:rPr>
          <w:rFonts w:ascii="Verdana" w:hAnsi="Verdana" w:cs="Verdana"/>
          <w:sz w:val="20"/>
          <w:szCs w:val="20"/>
        </w:rPr>
        <w:t xml:space="preserve"> Surcharge</w:t>
      </w:r>
      <w:r w:rsidR="001B397E">
        <w:rPr>
          <w:rFonts w:ascii="Verdana" w:hAnsi="Verdana" w:cs="Verdana"/>
          <w:sz w:val="20"/>
          <w:szCs w:val="20"/>
        </w:rPr>
        <w:t xml:space="preserve"> Amoun</w:t>
      </w:r>
      <w:r w:rsidR="00960CE1">
        <w:rPr>
          <w:rFonts w:ascii="Verdana" w:hAnsi="Verdana" w:cs="Verdana"/>
          <w:sz w:val="20"/>
          <w:szCs w:val="20"/>
        </w:rPr>
        <w:t xml:space="preserve">t </w:t>
      </w:r>
      <w:r w:rsidR="008F45A4">
        <w:rPr>
          <w:rFonts w:ascii="Verdana" w:hAnsi="Verdana" w:cs="Verdana"/>
          <w:sz w:val="20"/>
          <w:szCs w:val="20"/>
        </w:rPr>
        <w:t xml:space="preserve">in the “Deductions” section </w:t>
      </w:r>
      <w:r w:rsidR="00960CE1">
        <w:rPr>
          <w:rFonts w:ascii="Verdana" w:hAnsi="Verdana" w:cs="Verdana"/>
          <w:sz w:val="20"/>
          <w:szCs w:val="20"/>
        </w:rPr>
        <w:t>due to the employee not having a year-to-date amount for the Employee Contribution Surcharge.</w:t>
      </w:r>
    </w:p>
    <w:p w:rsidR="001B397E" w:rsidRDefault="001B397E" w:rsidP="00B12AD2">
      <w:pPr>
        <w:rPr>
          <w:rFonts w:ascii="Verdana" w:hAnsi="Verdana" w:cs="Verdana"/>
          <w:sz w:val="20"/>
          <w:szCs w:val="20"/>
        </w:rPr>
      </w:pPr>
    </w:p>
    <w:p w:rsidR="001B397E" w:rsidRDefault="001B397E" w:rsidP="00B12AD2">
      <w:pPr>
        <w:rPr>
          <w:rFonts w:ascii="Verdana" w:hAnsi="Verdana" w:cs="Verdana"/>
          <w:sz w:val="20"/>
          <w:szCs w:val="20"/>
        </w:rPr>
      </w:pPr>
      <w:r w:rsidRPr="00A370D5">
        <w:rPr>
          <w:noProof/>
        </w:rPr>
        <w:drawing>
          <wp:inline distT="0" distB="0" distL="0" distR="0" wp14:anchorId="2581BBE7" wp14:editId="7D125A9E">
            <wp:extent cx="5943600" cy="1195705"/>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95705"/>
                    </a:xfrm>
                    <a:prstGeom prst="rect">
                      <a:avLst/>
                    </a:prstGeom>
                  </pic:spPr>
                </pic:pic>
              </a:graphicData>
            </a:graphic>
          </wp:inline>
        </w:drawing>
      </w:r>
    </w:p>
    <w:p w:rsidR="006A2AA1" w:rsidRDefault="006A2AA1" w:rsidP="00B12AD2">
      <w:pPr>
        <w:rPr>
          <w:rFonts w:ascii="Verdana" w:hAnsi="Verdana" w:cs="Verdana"/>
          <w:sz w:val="20"/>
          <w:szCs w:val="20"/>
        </w:rPr>
      </w:pPr>
    </w:p>
    <w:p w:rsidR="006A2AA1" w:rsidRDefault="006A2AA1" w:rsidP="00B12AD2">
      <w:pPr>
        <w:rPr>
          <w:rFonts w:ascii="Verdana" w:hAnsi="Verdana" w:cs="Verdana"/>
          <w:sz w:val="20"/>
          <w:szCs w:val="20"/>
        </w:rPr>
      </w:pPr>
      <w:r>
        <w:rPr>
          <w:rFonts w:ascii="Verdana" w:hAnsi="Verdana" w:cs="Verdana"/>
          <w:sz w:val="20"/>
          <w:szCs w:val="20"/>
        </w:rPr>
        <w:t xml:space="preserve">In Scenario #2 (shown below), the </w:t>
      </w:r>
      <w:r w:rsidR="00E423AD">
        <w:rPr>
          <w:rFonts w:ascii="Verdana" w:hAnsi="Verdana" w:cs="Verdana"/>
          <w:sz w:val="20"/>
          <w:szCs w:val="20"/>
        </w:rPr>
        <w:t>employees’</w:t>
      </w:r>
      <w:r>
        <w:rPr>
          <w:rFonts w:ascii="Verdana" w:hAnsi="Verdana" w:cs="Verdana"/>
          <w:sz w:val="20"/>
          <w:szCs w:val="20"/>
        </w:rPr>
        <w:t xml:space="preserve"> benefit costs exceed the benefit premium amounts</w:t>
      </w:r>
      <w:r w:rsidR="00960CE1">
        <w:rPr>
          <w:rFonts w:ascii="Verdana" w:hAnsi="Verdana" w:cs="Verdana"/>
          <w:sz w:val="20"/>
          <w:szCs w:val="20"/>
        </w:rPr>
        <w:t xml:space="preserve"> as well</w:t>
      </w:r>
      <w:r>
        <w:rPr>
          <w:rFonts w:ascii="Verdana" w:hAnsi="Verdana" w:cs="Verdana"/>
          <w:sz w:val="20"/>
          <w:szCs w:val="20"/>
        </w:rPr>
        <w:t>.  In this case</w:t>
      </w:r>
      <w:r w:rsidR="00960CE1">
        <w:rPr>
          <w:rFonts w:ascii="Verdana" w:hAnsi="Verdana" w:cs="Verdana"/>
          <w:sz w:val="20"/>
          <w:szCs w:val="20"/>
        </w:rPr>
        <w:t xml:space="preserve">, </w:t>
      </w:r>
      <w:r>
        <w:rPr>
          <w:rFonts w:ascii="Verdana" w:hAnsi="Verdana" w:cs="Verdana"/>
          <w:sz w:val="20"/>
          <w:szCs w:val="20"/>
        </w:rPr>
        <w:t>the Employee Pre-Tax Medical Hospital Percentage is being adjusted in addition to the Employee Contribution Surcharge amount.  If the Employee Pre-</w:t>
      </w:r>
      <w:r w:rsidR="00097ACF">
        <w:rPr>
          <w:rFonts w:ascii="Verdana" w:hAnsi="Verdana" w:cs="Verdana"/>
          <w:sz w:val="20"/>
          <w:szCs w:val="20"/>
        </w:rPr>
        <w:t>T</w:t>
      </w:r>
      <w:r>
        <w:rPr>
          <w:rFonts w:ascii="Verdana" w:hAnsi="Verdana" w:cs="Verdana"/>
          <w:sz w:val="20"/>
          <w:szCs w:val="20"/>
        </w:rPr>
        <w:t>ax Medical Hos</w:t>
      </w:r>
      <w:r w:rsidR="00960CE1">
        <w:rPr>
          <w:rFonts w:ascii="Verdana" w:hAnsi="Verdana" w:cs="Verdana"/>
          <w:sz w:val="20"/>
          <w:szCs w:val="20"/>
        </w:rPr>
        <w:t xml:space="preserve">pital Percentage is adjusted, an </w:t>
      </w:r>
      <w:r w:rsidR="00E423AD">
        <w:rPr>
          <w:rFonts w:ascii="Verdana" w:hAnsi="Verdana" w:cs="Verdana"/>
          <w:sz w:val="20"/>
          <w:szCs w:val="20"/>
        </w:rPr>
        <w:t>“</w:t>
      </w:r>
      <w:r w:rsidR="00960CE1">
        <w:rPr>
          <w:rFonts w:ascii="Verdana" w:hAnsi="Verdana" w:cs="Verdana"/>
          <w:sz w:val="20"/>
          <w:szCs w:val="20"/>
        </w:rPr>
        <w:t xml:space="preserve">EE </w:t>
      </w:r>
      <w:proofErr w:type="spellStart"/>
      <w:r w:rsidR="00960CE1">
        <w:rPr>
          <w:rFonts w:ascii="Verdana" w:hAnsi="Verdana" w:cs="Verdana"/>
          <w:sz w:val="20"/>
          <w:szCs w:val="20"/>
        </w:rPr>
        <w:t>PreTx</w:t>
      </w:r>
      <w:proofErr w:type="spellEnd"/>
      <w:r w:rsidR="00960CE1">
        <w:rPr>
          <w:rFonts w:ascii="Verdana" w:hAnsi="Verdana" w:cs="Verdana"/>
          <w:sz w:val="20"/>
          <w:szCs w:val="20"/>
        </w:rPr>
        <w:t xml:space="preserve"> M/H </w:t>
      </w:r>
      <w:proofErr w:type="spellStart"/>
      <w:proofErr w:type="gramStart"/>
      <w:r w:rsidR="00960CE1">
        <w:rPr>
          <w:rFonts w:ascii="Verdana" w:hAnsi="Verdana" w:cs="Verdana"/>
          <w:sz w:val="20"/>
          <w:szCs w:val="20"/>
        </w:rPr>
        <w:t>Adj</w:t>
      </w:r>
      <w:r w:rsidR="00E423AD">
        <w:rPr>
          <w:rFonts w:ascii="Verdana" w:hAnsi="Verdana" w:cs="Verdana"/>
          <w:sz w:val="20"/>
          <w:szCs w:val="20"/>
        </w:rPr>
        <w:t>”</w:t>
      </w:r>
      <w:r w:rsidR="00960CE1">
        <w:rPr>
          <w:rFonts w:ascii="Verdana" w:hAnsi="Verdana" w:cs="Verdana"/>
          <w:sz w:val="20"/>
          <w:szCs w:val="20"/>
        </w:rPr>
        <w:t>Amount</w:t>
      </w:r>
      <w:proofErr w:type="spellEnd"/>
      <w:proofErr w:type="gramEnd"/>
      <w:r w:rsidR="00960CE1">
        <w:rPr>
          <w:rFonts w:ascii="Verdana" w:hAnsi="Verdana" w:cs="Verdana"/>
          <w:sz w:val="20"/>
          <w:szCs w:val="20"/>
        </w:rPr>
        <w:t xml:space="preserve"> will appear on the employee’s remuneration statement.</w:t>
      </w:r>
    </w:p>
    <w:p w:rsidR="00960CE1" w:rsidRDefault="00960CE1" w:rsidP="00B12AD2">
      <w:pPr>
        <w:rPr>
          <w:rFonts w:ascii="Verdana" w:hAnsi="Verdana" w:cs="Verdana"/>
          <w:sz w:val="20"/>
          <w:szCs w:val="20"/>
        </w:rPr>
      </w:pPr>
    </w:p>
    <w:p w:rsidR="00960CE1" w:rsidRDefault="00960CE1" w:rsidP="00B12AD2">
      <w:pPr>
        <w:rPr>
          <w:rFonts w:ascii="Verdana" w:hAnsi="Verdana" w:cs="Verdana"/>
          <w:sz w:val="20"/>
          <w:szCs w:val="20"/>
        </w:rPr>
      </w:pPr>
      <w:r>
        <w:rPr>
          <w:noProof/>
        </w:rPr>
        <mc:AlternateContent>
          <mc:Choice Requires="wps">
            <w:drawing>
              <wp:anchor distT="0" distB="0" distL="114300" distR="114300" simplePos="0" relativeHeight="251661312" behindDoc="0" locked="0" layoutInCell="1" allowOverlap="1" wp14:anchorId="442B529A" wp14:editId="4D0CAF18">
                <wp:simplePos x="0" y="0"/>
                <wp:positionH relativeFrom="column">
                  <wp:posOffset>-12032</wp:posOffset>
                </wp:positionH>
                <wp:positionV relativeFrom="paragraph">
                  <wp:posOffset>595028</wp:posOffset>
                </wp:positionV>
                <wp:extent cx="5678906" cy="216569"/>
                <wp:effectExtent l="19050" t="19050" r="36195" b="31115"/>
                <wp:wrapNone/>
                <wp:docPr id="4" name="Rectangle 4"/>
                <wp:cNvGraphicFramePr/>
                <a:graphic xmlns:a="http://schemas.openxmlformats.org/drawingml/2006/main">
                  <a:graphicData uri="http://schemas.microsoft.com/office/word/2010/wordprocessingShape">
                    <wps:wsp>
                      <wps:cNvSpPr/>
                      <wps:spPr>
                        <a:xfrm>
                          <a:off x="0" y="0"/>
                          <a:ext cx="5678906" cy="216569"/>
                        </a:xfrm>
                        <a:prstGeom prst="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53906" id="Rectangle 4" o:spid="_x0000_s1026" style="position:absolute;margin-left:-.95pt;margin-top:46.85pt;width:447.15pt;height:1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" filled="f" strokecolor="#c00000" strokeweight="4.5pt"/>
            </w:pict>
          </mc:Fallback>
        </mc:AlternateContent>
      </w:r>
      <w:r w:rsidRPr="00A370D5">
        <w:rPr>
          <w:noProof/>
        </w:rPr>
        <w:drawing>
          <wp:inline distT="0" distB="0" distL="0" distR="0" wp14:anchorId="7AA5FAB1" wp14:editId="4C8F435F">
            <wp:extent cx="5943600" cy="13449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344930"/>
                    </a:xfrm>
                    <a:prstGeom prst="rect">
                      <a:avLst/>
                    </a:prstGeom>
                  </pic:spPr>
                </pic:pic>
              </a:graphicData>
            </a:graphic>
          </wp:inline>
        </w:drawing>
      </w:r>
    </w:p>
    <w:p w:rsidR="001B397E" w:rsidRDefault="001B397E" w:rsidP="00B12AD2">
      <w:pPr>
        <w:rPr>
          <w:rFonts w:ascii="Verdana" w:hAnsi="Verdana" w:cs="Verdana"/>
          <w:sz w:val="20"/>
          <w:szCs w:val="20"/>
        </w:rPr>
      </w:pPr>
    </w:p>
    <w:p w:rsidR="00960CE1" w:rsidRPr="00097ACF" w:rsidRDefault="001B397E" w:rsidP="00B12AD2">
      <w:pPr>
        <w:rPr>
          <w:rFonts w:ascii="Verdana" w:hAnsi="Verdana" w:cs="Verdana"/>
          <w:sz w:val="20"/>
          <w:szCs w:val="20"/>
        </w:rPr>
      </w:pPr>
      <w:r w:rsidRPr="00097ACF">
        <w:rPr>
          <w:rFonts w:ascii="Verdana" w:hAnsi="Verdana" w:cs="Verdana"/>
          <w:sz w:val="20"/>
          <w:szCs w:val="20"/>
        </w:rPr>
        <w:t xml:space="preserve">To confirm </w:t>
      </w:r>
      <w:r w:rsidR="006A2AA1" w:rsidRPr="00097ACF">
        <w:rPr>
          <w:rFonts w:ascii="Verdana" w:hAnsi="Verdana" w:cs="Verdana"/>
          <w:sz w:val="20"/>
          <w:szCs w:val="20"/>
        </w:rPr>
        <w:t>an adjustment has been made to the Employee Contribution Surcharge</w:t>
      </w:r>
      <w:r w:rsidR="00960CE1" w:rsidRPr="00097ACF">
        <w:rPr>
          <w:rFonts w:ascii="Verdana" w:hAnsi="Verdana" w:cs="Verdana"/>
          <w:sz w:val="20"/>
          <w:szCs w:val="20"/>
        </w:rPr>
        <w:t xml:space="preserve"> or the Employee Pre-Tax Medical Hospital Percentage</w:t>
      </w:r>
      <w:r w:rsidR="006A2AA1" w:rsidRPr="00097ACF">
        <w:rPr>
          <w:rFonts w:ascii="Verdana" w:hAnsi="Verdana" w:cs="Verdana"/>
          <w:sz w:val="20"/>
          <w:szCs w:val="20"/>
        </w:rPr>
        <w:t xml:space="preserve">, the user can review the </w:t>
      </w:r>
      <w:proofErr w:type="spellStart"/>
      <w:r w:rsidR="00E47F87">
        <w:rPr>
          <w:rFonts w:ascii="Verdana" w:hAnsi="Verdana" w:cs="Verdana"/>
          <w:sz w:val="20"/>
          <w:szCs w:val="20"/>
        </w:rPr>
        <w:t>infotype</w:t>
      </w:r>
      <w:proofErr w:type="spellEnd"/>
      <w:r w:rsidR="00E47F87">
        <w:rPr>
          <w:rFonts w:ascii="Verdana" w:hAnsi="Verdana" w:cs="Verdana"/>
          <w:sz w:val="20"/>
          <w:szCs w:val="20"/>
        </w:rPr>
        <w:t xml:space="preserve"> </w:t>
      </w:r>
      <w:r w:rsidR="006A2AA1" w:rsidRPr="00097ACF">
        <w:rPr>
          <w:rFonts w:ascii="Verdana" w:hAnsi="Verdana" w:cs="Verdana"/>
          <w:sz w:val="20"/>
          <w:szCs w:val="20"/>
        </w:rPr>
        <w:t>0015 (Addition</w:t>
      </w:r>
      <w:r w:rsidR="00960CE1" w:rsidRPr="00097ACF">
        <w:rPr>
          <w:rFonts w:ascii="Verdana" w:hAnsi="Verdana" w:cs="Verdana"/>
          <w:sz w:val="20"/>
          <w:szCs w:val="20"/>
        </w:rPr>
        <w:t>al</w:t>
      </w:r>
      <w:r w:rsidR="006A2AA1" w:rsidRPr="00097ACF">
        <w:rPr>
          <w:rFonts w:ascii="Verdana" w:hAnsi="Verdana" w:cs="Verdana"/>
          <w:sz w:val="20"/>
          <w:szCs w:val="20"/>
        </w:rPr>
        <w:t xml:space="preserve"> Payments).  </w:t>
      </w:r>
      <w:r w:rsidRPr="00097ACF">
        <w:rPr>
          <w:rFonts w:ascii="Verdana" w:hAnsi="Verdana" w:cs="Verdana"/>
          <w:sz w:val="20"/>
          <w:szCs w:val="20"/>
        </w:rPr>
        <w:t xml:space="preserve"> </w:t>
      </w:r>
      <w:r w:rsidR="00097ACF" w:rsidRPr="00097ACF">
        <w:rPr>
          <w:rFonts w:ascii="Verdana" w:hAnsi="Verdana" w:cs="Verdana"/>
          <w:sz w:val="20"/>
          <w:szCs w:val="20"/>
        </w:rPr>
        <w:t>These adjustments will have negative sign at the end of the amount to indicate that the employee is being reimbursed that amount.</w:t>
      </w:r>
      <w:r w:rsidR="00FC1D74">
        <w:rPr>
          <w:rFonts w:ascii="Verdana" w:hAnsi="Verdana" w:cs="Verdana"/>
          <w:sz w:val="20"/>
          <w:szCs w:val="20"/>
        </w:rPr>
        <w:t xml:space="preserve">  </w:t>
      </w:r>
      <w:r w:rsidR="00960CE1" w:rsidRPr="00097ACF">
        <w:rPr>
          <w:rFonts w:ascii="Verdana" w:hAnsi="Verdana" w:cs="Verdana"/>
          <w:sz w:val="20"/>
          <w:szCs w:val="20"/>
        </w:rPr>
        <w:t>The following new wage types were created for Employee Contribution Surcharge adjustments:</w:t>
      </w:r>
    </w:p>
    <w:p w:rsidR="00960CE1" w:rsidRPr="00097ACF" w:rsidRDefault="00960CE1" w:rsidP="00B12AD2">
      <w:pPr>
        <w:rPr>
          <w:rFonts w:ascii="Verdana" w:hAnsi="Verdana" w:cs="Verdana"/>
          <w:sz w:val="20"/>
          <w:szCs w:val="20"/>
        </w:rPr>
      </w:pPr>
    </w:p>
    <w:p w:rsidR="00960CE1" w:rsidRPr="00097ACF" w:rsidRDefault="00960CE1" w:rsidP="00960CE1">
      <w:pPr>
        <w:pStyle w:val="ListParagraph"/>
        <w:numPr>
          <w:ilvl w:val="0"/>
          <w:numId w:val="46"/>
        </w:numPr>
        <w:spacing w:after="200" w:line="276" w:lineRule="auto"/>
        <w:rPr>
          <w:rFonts w:ascii="Verdana" w:hAnsi="Verdana" w:cs="Arial"/>
          <w:sz w:val="20"/>
          <w:szCs w:val="20"/>
        </w:rPr>
      </w:pPr>
      <w:r w:rsidRPr="00097ACF">
        <w:rPr>
          <w:rFonts w:ascii="Verdana" w:hAnsi="Verdana" w:cs="Arial"/>
          <w:sz w:val="20"/>
          <w:szCs w:val="20"/>
        </w:rPr>
        <w:t>6E6Y – EE Contribution Surcharge (Bronze Plan)</w:t>
      </w:r>
    </w:p>
    <w:p w:rsidR="00960CE1" w:rsidRPr="00097ACF" w:rsidRDefault="00960CE1" w:rsidP="00960CE1">
      <w:pPr>
        <w:pStyle w:val="ListParagraph"/>
        <w:numPr>
          <w:ilvl w:val="0"/>
          <w:numId w:val="46"/>
        </w:numPr>
        <w:spacing w:after="200" w:line="276" w:lineRule="auto"/>
        <w:rPr>
          <w:rFonts w:ascii="Verdana" w:hAnsi="Verdana" w:cs="Arial"/>
          <w:sz w:val="20"/>
          <w:szCs w:val="20"/>
        </w:rPr>
      </w:pPr>
      <w:r w:rsidRPr="00097ACF">
        <w:rPr>
          <w:rFonts w:ascii="Verdana" w:hAnsi="Verdana" w:cs="Arial"/>
          <w:sz w:val="20"/>
          <w:szCs w:val="20"/>
        </w:rPr>
        <w:t>6E6Z – EE Contribution Surcharge (</w:t>
      </w:r>
      <w:proofErr w:type="gramStart"/>
      <w:r w:rsidRPr="00097ACF">
        <w:rPr>
          <w:rFonts w:ascii="Verdana" w:hAnsi="Verdana" w:cs="Arial"/>
          <w:sz w:val="20"/>
          <w:szCs w:val="20"/>
        </w:rPr>
        <w:t>PEBTF )</w:t>
      </w:r>
      <w:proofErr w:type="gramEnd"/>
    </w:p>
    <w:p w:rsidR="00097ACF" w:rsidRDefault="00097ACF" w:rsidP="00673B28">
      <w:pPr>
        <w:rPr>
          <w:rFonts w:ascii="Verdana" w:hAnsi="Verdana"/>
          <w:sz w:val="20"/>
          <w:szCs w:val="20"/>
        </w:rPr>
      </w:pPr>
      <w:r w:rsidRPr="00097ACF">
        <w:rPr>
          <w:rFonts w:ascii="Verdana" w:hAnsi="Verdana"/>
          <w:sz w:val="20"/>
          <w:szCs w:val="20"/>
        </w:rPr>
        <w:t xml:space="preserve">If an adjustment is made for the Employee Pre-Tax Hospital Percentage, the user will see a wage type 6E75 on the </w:t>
      </w:r>
      <w:proofErr w:type="spellStart"/>
      <w:r w:rsidR="00E47F87">
        <w:rPr>
          <w:rFonts w:ascii="Verdana" w:hAnsi="Verdana"/>
          <w:sz w:val="20"/>
          <w:szCs w:val="20"/>
        </w:rPr>
        <w:t>infotype</w:t>
      </w:r>
      <w:proofErr w:type="spellEnd"/>
      <w:r w:rsidR="00E47F87">
        <w:rPr>
          <w:rFonts w:ascii="Verdana" w:hAnsi="Verdana"/>
          <w:sz w:val="20"/>
          <w:szCs w:val="20"/>
        </w:rPr>
        <w:t xml:space="preserve"> </w:t>
      </w:r>
      <w:r w:rsidRPr="00097ACF">
        <w:rPr>
          <w:rFonts w:ascii="Verdana" w:hAnsi="Verdana"/>
          <w:sz w:val="20"/>
          <w:szCs w:val="20"/>
        </w:rPr>
        <w:t>001</w:t>
      </w:r>
      <w:r w:rsidR="00E47F87">
        <w:rPr>
          <w:rFonts w:ascii="Verdana" w:hAnsi="Verdana"/>
          <w:sz w:val="20"/>
          <w:szCs w:val="20"/>
        </w:rPr>
        <w:t>5</w:t>
      </w:r>
      <w:r w:rsidRPr="00097ACF">
        <w:rPr>
          <w:rFonts w:ascii="Verdana" w:hAnsi="Verdana"/>
          <w:sz w:val="20"/>
          <w:szCs w:val="20"/>
        </w:rPr>
        <w:t xml:space="preserve"> (Additional Payments).</w:t>
      </w:r>
      <w:r>
        <w:rPr>
          <w:rFonts w:ascii="Verdana" w:hAnsi="Verdana"/>
          <w:sz w:val="20"/>
          <w:szCs w:val="20"/>
        </w:rPr>
        <w:t xml:space="preserve"> </w:t>
      </w:r>
      <w:r w:rsidR="00BB5CD3">
        <w:rPr>
          <w:rFonts w:ascii="Verdana" w:hAnsi="Verdana"/>
          <w:sz w:val="20"/>
          <w:szCs w:val="20"/>
        </w:rPr>
        <w:t xml:space="preserve">The </w:t>
      </w:r>
      <w:r w:rsidR="00254EC9">
        <w:rPr>
          <w:rFonts w:ascii="Verdana" w:hAnsi="Verdana"/>
          <w:sz w:val="20"/>
          <w:szCs w:val="20"/>
        </w:rPr>
        <w:t>“</w:t>
      </w:r>
      <w:r w:rsidR="00BB5CD3">
        <w:rPr>
          <w:rFonts w:ascii="Verdana" w:hAnsi="Verdana"/>
          <w:sz w:val="20"/>
          <w:szCs w:val="20"/>
        </w:rPr>
        <w:t xml:space="preserve">EE </w:t>
      </w:r>
      <w:proofErr w:type="spellStart"/>
      <w:r w:rsidR="00BB5CD3">
        <w:rPr>
          <w:rFonts w:ascii="Verdana" w:hAnsi="Verdana"/>
          <w:sz w:val="20"/>
          <w:szCs w:val="20"/>
        </w:rPr>
        <w:t>PreTx</w:t>
      </w:r>
      <w:proofErr w:type="spellEnd"/>
      <w:r w:rsidR="00BB5CD3">
        <w:rPr>
          <w:rFonts w:ascii="Verdana" w:hAnsi="Verdana"/>
          <w:sz w:val="20"/>
          <w:szCs w:val="20"/>
        </w:rPr>
        <w:t xml:space="preserve"> MED </w:t>
      </w:r>
      <w:proofErr w:type="spellStart"/>
      <w:r w:rsidR="00BB5CD3">
        <w:rPr>
          <w:rFonts w:ascii="Verdana" w:hAnsi="Verdana"/>
          <w:sz w:val="20"/>
          <w:szCs w:val="20"/>
        </w:rPr>
        <w:t>Pct</w:t>
      </w:r>
      <w:proofErr w:type="spellEnd"/>
      <w:r w:rsidR="00254EC9">
        <w:rPr>
          <w:rFonts w:ascii="Verdana" w:hAnsi="Verdana"/>
          <w:sz w:val="20"/>
          <w:szCs w:val="20"/>
        </w:rPr>
        <w:t>” amount listed on the remuneration statement</w:t>
      </w:r>
      <w:r w:rsidR="00BB5CD3">
        <w:rPr>
          <w:rFonts w:ascii="Verdana" w:hAnsi="Verdana"/>
          <w:sz w:val="20"/>
          <w:szCs w:val="20"/>
        </w:rPr>
        <w:t xml:space="preserve"> would be the </w:t>
      </w:r>
      <w:r w:rsidR="00BB5CD3" w:rsidRPr="00BB5CD3">
        <w:rPr>
          <w:rFonts w:ascii="Verdana" w:hAnsi="Verdana"/>
          <w:sz w:val="20"/>
          <w:szCs w:val="20"/>
          <w:u w:val="single"/>
        </w:rPr>
        <w:t>final</w:t>
      </w:r>
      <w:r w:rsidR="00BB5CD3">
        <w:rPr>
          <w:rFonts w:ascii="Verdana" w:hAnsi="Verdana"/>
          <w:sz w:val="20"/>
          <w:szCs w:val="20"/>
        </w:rPr>
        <w:t xml:space="preserve"> </w:t>
      </w:r>
      <w:r w:rsidR="008F45A4">
        <w:rPr>
          <w:rFonts w:ascii="Verdana" w:hAnsi="Verdana"/>
          <w:sz w:val="20"/>
          <w:szCs w:val="20"/>
        </w:rPr>
        <w:t xml:space="preserve">employee contribution pretax </w:t>
      </w:r>
      <w:r w:rsidR="00BB5CD3">
        <w:rPr>
          <w:rFonts w:ascii="Verdana" w:hAnsi="Verdana"/>
          <w:sz w:val="20"/>
          <w:szCs w:val="20"/>
        </w:rPr>
        <w:t>amoun</w:t>
      </w:r>
      <w:r w:rsidR="008F45A4">
        <w:rPr>
          <w:rFonts w:ascii="Verdana" w:hAnsi="Verdana"/>
          <w:sz w:val="20"/>
          <w:szCs w:val="20"/>
        </w:rPr>
        <w:t xml:space="preserve">t deducted </w:t>
      </w:r>
      <w:r w:rsidR="00BB5CD3">
        <w:rPr>
          <w:rFonts w:ascii="Verdana" w:hAnsi="Verdana"/>
          <w:sz w:val="20"/>
          <w:szCs w:val="20"/>
        </w:rPr>
        <w:t>after the adjustment is made for that pay period.</w:t>
      </w:r>
      <w:r w:rsidR="00F52B85">
        <w:rPr>
          <w:rFonts w:ascii="Verdana" w:hAnsi="Verdana"/>
          <w:sz w:val="20"/>
          <w:szCs w:val="20"/>
        </w:rPr>
        <w:t xml:space="preserve">  In addition, if there is an adjustment made for the Employee </w:t>
      </w:r>
      <w:r w:rsidR="00313555">
        <w:rPr>
          <w:rFonts w:ascii="Verdana" w:hAnsi="Verdana"/>
          <w:sz w:val="20"/>
          <w:szCs w:val="20"/>
        </w:rPr>
        <w:t>Contribution Surcharge, the am</w:t>
      </w:r>
      <w:r w:rsidR="002167FB">
        <w:rPr>
          <w:rFonts w:ascii="Verdana" w:hAnsi="Verdana"/>
          <w:sz w:val="20"/>
          <w:szCs w:val="20"/>
        </w:rPr>
        <w:t>ount listed on the remuneration</w:t>
      </w:r>
      <w:r w:rsidR="00313555">
        <w:rPr>
          <w:rFonts w:ascii="Verdana" w:hAnsi="Verdana"/>
          <w:sz w:val="20"/>
          <w:szCs w:val="20"/>
        </w:rPr>
        <w:t xml:space="preserve"> statement would be the </w:t>
      </w:r>
      <w:r w:rsidR="00313555" w:rsidRPr="00313555">
        <w:rPr>
          <w:rFonts w:ascii="Verdana" w:hAnsi="Verdana"/>
          <w:b/>
          <w:sz w:val="20"/>
          <w:szCs w:val="20"/>
          <w:u w:val="single"/>
        </w:rPr>
        <w:t>final</w:t>
      </w:r>
      <w:r w:rsidR="00313555">
        <w:rPr>
          <w:rFonts w:ascii="Verdana" w:hAnsi="Verdana"/>
          <w:sz w:val="20"/>
          <w:szCs w:val="20"/>
        </w:rPr>
        <w:t xml:space="preserve"> </w:t>
      </w:r>
      <w:r w:rsidR="00313555" w:rsidRPr="00313555">
        <w:rPr>
          <w:rFonts w:ascii="Verdana" w:hAnsi="Verdana"/>
          <w:sz w:val="20"/>
          <w:szCs w:val="20"/>
        </w:rPr>
        <w:t>Employee Contribution Surcharge amount deducted. Please note: There may be no Employee Contribution Surcharge Amount taken due to the adjustment that is made.  If this is the case, the dollar amount will appear as blank if the employee has a year-to-date amount on their remuneration statement</w:t>
      </w:r>
      <w:r w:rsidR="00313555">
        <w:rPr>
          <w:rFonts w:ascii="Verdana" w:hAnsi="Verdana"/>
          <w:sz w:val="20"/>
          <w:szCs w:val="20"/>
          <w:u w:val="single"/>
        </w:rPr>
        <w:t xml:space="preserve">. </w:t>
      </w:r>
    </w:p>
    <w:p w:rsidR="00BB5CD3" w:rsidRDefault="00BB5CD3" w:rsidP="00673B28">
      <w:pPr>
        <w:rPr>
          <w:rFonts w:ascii="Verdana" w:hAnsi="Verdana"/>
          <w:sz w:val="20"/>
          <w:szCs w:val="20"/>
        </w:rPr>
      </w:pPr>
    </w:p>
    <w:p w:rsidR="00097ACF" w:rsidRDefault="002167FB" w:rsidP="00673B28">
      <w:pPr>
        <w:rPr>
          <w:rFonts w:ascii="Verdana" w:hAnsi="Verdana"/>
          <w:sz w:val="20"/>
          <w:szCs w:val="20"/>
        </w:rPr>
      </w:pPr>
      <w:r>
        <w:rPr>
          <w:rFonts w:ascii="Verdana" w:hAnsi="Verdana"/>
          <w:sz w:val="20"/>
          <w:szCs w:val="20"/>
        </w:rPr>
        <w:t xml:space="preserve">Below are screen shots to </w:t>
      </w:r>
      <w:r w:rsidR="00097ACF">
        <w:rPr>
          <w:rFonts w:ascii="Verdana" w:hAnsi="Verdana"/>
          <w:sz w:val="20"/>
          <w:szCs w:val="20"/>
        </w:rPr>
        <w:t xml:space="preserve">show the adjustments will appear on the </w:t>
      </w:r>
      <w:proofErr w:type="spellStart"/>
      <w:r w:rsidR="00E47F87">
        <w:rPr>
          <w:rFonts w:ascii="Verdana" w:hAnsi="Verdana"/>
          <w:sz w:val="20"/>
          <w:szCs w:val="20"/>
        </w:rPr>
        <w:t>i</w:t>
      </w:r>
      <w:r w:rsidR="00097ACF">
        <w:rPr>
          <w:rFonts w:ascii="Verdana" w:hAnsi="Verdana"/>
          <w:sz w:val="20"/>
          <w:szCs w:val="20"/>
        </w:rPr>
        <w:t>nfotype</w:t>
      </w:r>
      <w:proofErr w:type="spellEnd"/>
      <w:r w:rsidR="00097ACF">
        <w:rPr>
          <w:rFonts w:ascii="Verdana" w:hAnsi="Verdana"/>
          <w:sz w:val="20"/>
          <w:szCs w:val="20"/>
        </w:rPr>
        <w:t xml:space="preserve"> 0015 (Additional Payments).</w:t>
      </w:r>
    </w:p>
    <w:p w:rsidR="00F37C24" w:rsidRDefault="00F37C24" w:rsidP="00673B28">
      <w:pPr>
        <w:rPr>
          <w:rFonts w:ascii="Verdana" w:hAnsi="Verdana"/>
          <w:sz w:val="20"/>
          <w:szCs w:val="20"/>
        </w:rPr>
      </w:pPr>
    </w:p>
    <w:p w:rsidR="00F37C24" w:rsidRPr="00F37C24" w:rsidRDefault="00F37C24" w:rsidP="00673B28">
      <w:pPr>
        <w:rPr>
          <w:rFonts w:ascii="Verdana" w:hAnsi="Verdana"/>
          <w:sz w:val="20"/>
          <w:szCs w:val="20"/>
          <w:u w:val="single"/>
        </w:rPr>
      </w:pPr>
      <w:r w:rsidRPr="00F37C24">
        <w:rPr>
          <w:rFonts w:ascii="Verdana" w:hAnsi="Verdana"/>
          <w:sz w:val="20"/>
          <w:szCs w:val="20"/>
          <w:u w:val="single"/>
        </w:rPr>
        <w:t>Bronze Plan</w:t>
      </w:r>
      <w:r w:rsidR="004B0309">
        <w:rPr>
          <w:rFonts w:ascii="Verdana" w:hAnsi="Verdana"/>
          <w:sz w:val="20"/>
          <w:szCs w:val="20"/>
          <w:u w:val="single"/>
        </w:rPr>
        <w:t xml:space="preserve"> adjustment</w:t>
      </w:r>
    </w:p>
    <w:p w:rsidR="00254EC9" w:rsidRDefault="00254EC9" w:rsidP="00673B28">
      <w:pPr>
        <w:rPr>
          <w:rFonts w:ascii="Verdana" w:hAnsi="Verdana"/>
          <w:sz w:val="20"/>
          <w:szCs w:val="20"/>
        </w:rPr>
      </w:pPr>
    </w:p>
    <w:p w:rsidR="00254EC9" w:rsidRDefault="00F37C24" w:rsidP="00673B28">
      <w:pPr>
        <w:rPr>
          <w:rFonts w:ascii="Verdana" w:hAnsi="Verdana"/>
          <w:sz w:val="20"/>
          <w:szCs w:val="20"/>
        </w:rPr>
      </w:pPr>
      <w:r>
        <w:rPr>
          <w:noProof/>
          <w:color w:val="1F497D"/>
        </w:rPr>
        <w:drawing>
          <wp:inline distT="0" distB="0" distL="0" distR="0">
            <wp:extent cx="6087745" cy="384789"/>
            <wp:effectExtent l="0" t="0" r="0" b="0"/>
            <wp:docPr id="3" name="Picture 3" descr="cid:image001.png@01D256C4.79A5E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56C4.79A5E6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207876" cy="392382"/>
                    </a:xfrm>
                    <a:prstGeom prst="rect">
                      <a:avLst/>
                    </a:prstGeom>
                    <a:noFill/>
                    <a:ln>
                      <a:noFill/>
                    </a:ln>
                  </pic:spPr>
                </pic:pic>
              </a:graphicData>
            </a:graphic>
          </wp:inline>
        </w:drawing>
      </w:r>
    </w:p>
    <w:p w:rsidR="00097ACF" w:rsidRDefault="00097ACF" w:rsidP="00673B28">
      <w:pPr>
        <w:rPr>
          <w:rFonts w:ascii="Verdana" w:hAnsi="Verdana"/>
          <w:sz w:val="20"/>
          <w:szCs w:val="20"/>
        </w:rPr>
      </w:pPr>
    </w:p>
    <w:p w:rsidR="00F37C24" w:rsidRPr="00F37C24" w:rsidRDefault="00F37C24" w:rsidP="00673B28">
      <w:pPr>
        <w:rPr>
          <w:rFonts w:ascii="Verdana" w:hAnsi="Verdana"/>
          <w:sz w:val="20"/>
          <w:szCs w:val="20"/>
          <w:u w:val="single"/>
        </w:rPr>
      </w:pPr>
      <w:r w:rsidRPr="00F37C24">
        <w:rPr>
          <w:rFonts w:ascii="Verdana" w:hAnsi="Verdana"/>
          <w:sz w:val="20"/>
          <w:szCs w:val="20"/>
          <w:u w:val="single"/>
        </w:rPr>
        <w:t>PEBTF benefits</w:t>
      </w:r>
      <w:r w:rsidR="004B0309">
        <w:rPr>
          <w:rFonts w:ascii="Verdana" w:hAnsi="Verdana"/>
          <w:sz w:val="20"/>
          <w:szCs w:val="20"/>
          <w:u w:val="single"/>
        </w:rPr>
        <w:t xml:space="preserve"> adjustment</w:t>
      </w:r>
    </w:p>
    <w:p w:rsidR="00F37C24" w:rsidRDefault="00F37C24" w:rsidP="00673B28">
      <w:pPr>
        <w:rPr>
          <w:rFonts w:ascii="Verdana" w:hAnsi="Verdana"/>
          <w:sz w:val="20"/>
          <w:szCs w:val="20"/>
        </w:rPr>
      </w:pPr>
    </w:p>
    <w:p w:rsidR="00097ACF" w:rsidRDefault="00097ACF" w:rsidP="00673B28">
      <w:pPr>
        <w:rPr>
          <w:rFonts w:ascii="Verdana" w:hAnsi="Verdana"/>
          <w:sz w:val="20"/>
          <w:szCs w:val="20"/>
        </w:rPr>
      </w:pPr>
      <w:r w:rsidRPr="00097ACF">
        <w:rPr>
          <w:rFonts w:ascii="Verdana" w:hAnsi="Verdana"/>
          <w:noProof/>
          <w:sz w:val="20"/>
          <w:szCs w:val="20"/>
        </w:rPr>
        <w:drawing>
          <wp:inline distT="0" distB="0" distL="0" distR="0" wp14:anchorId="62FEA187" wp14:editId="5D87A882">
            <wp:extent cx="6087979" cy="3238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0894" cy="324537"/>
                    </a:xfrm>
                    <a:prstGeom prst="rect">
                      <a:avLst/>
                    </a:prstGeom>
                  </pic:spPr>
                </pic:pic>
              </a:graphicData>
            </a:graphic>
          </wp:inline>
        </w:drawing>
      </w:r>
    </w:p>
    <w:p w:rsidR="00097ACF" w:rsidRDefault="00097ACF" w:rsidP="00673B28">
      <w:pPr>
        <w:rPr>
          <w:rFonts w:ascii="Verdana" w:hAnsi="Verdana"/>
          <w:sz w:val="20"/>
          <w:szCs w:val="20"/>
        </w:rPr>
      </w:pPr>
    </w:p>
    <w:p w:rsidR="00F37C24" w:rsidRPr="00F37C24" w:rsidRDefault="00F37C24" w:rsidP="00673B28">
      <w:pPr>
        <w:rPr>
          <w:rFonts w:ascii="Verdana" w:hAnsi="Verdana"/>
          <w:sz w:val="20"/>
          <w:szCs w:val="20"/>
          <w:u w:val="single"/>
        </w:rPr>
      </w:pPr>
      <w:r w:rsidRPr="00F37C24">
        <w:rPr>
          <w:rFonts w:ascii="Verdana" w:hAnsi="Verdana"/>
          <w:sz w:val="20"/>
          <w:szCs w:val="20"/>
          <w:u w:val="single"/>
        </w:rPr>
        <w:t>Employee Pre-Tax Hospital Percentage</w:t>
      </w:r>
      <w:r w:rsidR="004B0309">
        <w:rPr>
          <w:rFonts w:ascii="Verdana" w:hAnsi="Verdana"/>
          <w:sz w:val="20"/>
          <w:szCs w:val="20"/>
          <w:u w:val="single"/>
        </w:rPr>
        <w:t xml:space="preserve"> adjustment</w:t>
      </w:r>
    </w:p>
    <w:p w:rsidR="00F37C24" w:rsidRDefault="00F37C24" w:rsidP="00673B28">
      <w:pPr>
        <w:rPr>
          <w:rFonts w:ascii="Verdana" w:hAnsi="Verdana"/>
          <w:sz w:val="20"/>
          <w:szCs w:val="20"/>
        </w:rPr>
      </w:pPr>
    </w:p>
    <w:p w:rsidR="00097ACF" w:rsidRDefault="00097ACF" w:rsidP="00673B28">
      <w:pPr>
        <w:rPr>
          <w:rFonts w:ascii="Verdana" w:hAnsi="Verdana"/>
          <w:sz w:val="20"/>
          <w:szCs w:val="20"/>
        </w:rPr>
      </w:pPr>
      <w:r w:rsidRPr="00097ACF">
        <w:rPr>
          <w:rFonts w:ascii="Verdana" w:hAnsi="Verdana"/>
          <w:noProof/>
          <w:sz w:val="20"/>
          <w:szCs w:val="20"/>
        </w:rPr>
        <w:drawing>
          <wp:inline distT="0" distB="0" distL="0" distR="0" wp14:anchorId="054AA819" wp14:editId="7E5A355E">
            <wp:extent cx="6136005" cy="2887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20907" cy="320988"/>
                    </a:xfrm>
                    <a:prstGeom prst="rect">
                      <a:avLst/>
                    </a:prstGeom>
                  </pic:spPr>
                </pic:pic>
              </a:graphicData>
            </a:graphic>
          </wp:inline>
        </w:drawing>
      </w:r>
    </w:p>
    <w:p w:rsidR="00BB5CD3" w:rsidRDefault="00BB5CD3" w:rsidP="00673B28">
      <w:pPr>
        <w:rPr>
          <w:rFonts w:ascii="Verdana" w:hAnsi="Verdana"/>
          <w:sz w:val="20"/>
          <w:szCs w:val="20"/>
        </w:rPr>
      </w:pPr>
    </w:p>
    <w:p w:rsidR="00BB5CD3" w:rsidRDefault="00BB5CD3" w:rsidP="00673B28">
      <w:pPr>
        <w:rPr>
          <w:rFonts w:ascii="Verdana" w:hAnsi="Verdana"/>
          <w:sz w:val="20"/>
          <w:szCs w:val="20"/>
        </w:rPr>
      </w:pPr>
    </w:p>
    <w:p w:rsidR="00097ACF" w:rsidRDefault="00097ACF" w:rsidP="00673B28">
      <w:pPr>
        <w:rPr>
          <w:rFonts w:ascii="Verdana" w:hAnsi="Verdana"/>
          <w:sz w:val="20"/>
          <w:szCs w:val="20"/>
        </w:rPr>
      </w:pPr>
    </w:p>
    <w:p w:rsidR="00097ACF" w:rsidRDefault="00097ACF" w:rsidP="00673B28">
      <w:pPr>
        <w:rPr>
          <w:rFonts w:ascii="Verdana" w:hAnsi="Verdana"/>
          <w:sz w:val="20"/>
          <w:szCs w:val="20"/>
        </w:rPr>
      </w:pPr>
    </w:p>
    <w:p w:rsidR="00097ACF" w:rsidRPr="00097ACF" w:rsidRDefault="00097ACF" w:rsidP="00673B28">
      <w:pPr>
        <w:rPr>
          <w:rFonts w:ascii="Verdana" w:hAnsi="Verdana"/>
          <w:sz w:val="20"/>
          <w:szCs w:val="20"/>
        </w:rPr>
      </w:pPr>
    </w:p>
    <w:p w:rsidR="00472D0E" w:rsidRPr="009C1B31" w:rsidRDefault="00377242" w:rsidP="00E56507">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00685856" w:rsidRPr="009C1B31">
        <w:rPr>
          <w:rFonts w:ascii="Verdana" w:hAnsi="Verdana" w:cs="Verdana"/>
          <w:sz w:val="20"/>
          <w:szCs w:val="20"/>
        </w:rPr>
        <w:t xml:space="preserve">If you have any questions regarding </w:t>
      </w:r>
      <w:sdt>
        <w:sdtPr>
          <w:rPr>
            <w:rFonts w:ascii="Verdana" w:hAnsi="Verdana" w:cs="Verdana"/>
            <w:sz w:val="20"/>
            <w:szCs w:val="20"/>
          </w:rPr>
          <w:alias w:val="Title"/>
          <w:id w:val="1612985"/>
          <w:placeholder>
            <w:docPart w:val="5A5A8C2AC7F14295937F79E598D56509"/>
          </w:placeholder>
          <w:dataBinding w:prefixMappings="xmlns:ns0='http://purl.org/dc/elements/1.1/' xmlns:ns1='http://schemas.openxmlformats.org/package/2006/metadata/core-properties' " w:xpath="/ns1:coreProperties[1]/ns0:title[1]" w:storeItemID="{6C3C8BC8-F283-45AE-878A-BAB7291924A1}"/>
          <w:text/>
        </w:sdtPr>
        <w:sdtEndPr/>
        <w:sdtContent>
          <w:r w:rsidR="00E47F87">
            <w:rPr>
              <w:rFonts w:ascii="Verdana" w:hAnsi="Verdana" w:cs="Verdana"/>
              <w:sz w:val="20"/>
              <w:szCs w:val="20"/>
            </w:rPr>
            <w:t>the Employee Contribution Surcharge</w:t>
          </w:r>
        </w:sdtContent>
      </w:sdt>
      <w:r w:rsidR="00685856" w:rsidRPr="009C1B31">
        <w:rPr>
          <w:rFonts w:ascii="Verdana" w:hAnsi="Verdana" w:cs="Verdana"/>
          <w:sz w:val="20"/>
          <w:szCs w:val="20"/>
        </w:rPr>
        <w:t xml:space="preserve">, please submit an </w:t>
      </w:r>
      <w:hyperlink r:id="rId16" w:history="1">
        <w:r w:rsidR="00685856" w:rsidRPr="00262C4D">
          <w:rPr>
            <w:rFonts w:ascii="Verdana" w:hAnsi="Verdana"/>
            <w:b/>
            <w:color w:val="002569"/>
            <w:sz w:val="20"/>
            <w:szCs w:val="20"/>
            <w:u w:val="single"/>
          </w:rPr>
          <w:t>HR help desk ticket</w:t>
        </w:r>
      </w:hyperlink>
      <w:r w:rsidR="00685856" w:rsidRPr="009C1B31">
        <w:rPr>
          <w:rFonts w:ascii="Verdana" w:hAnsi="Verdana" w:cs="Verdana"/>
          <w:sz w:val="20"/>
          <w:szCs w:val="20"/>
        </w:rPr>
        <w:t xml:space="preserve"> in the </w:t>
      </w:r>
      <w:r w:rsidR="00870071">
        <w:rPr>
          <w:rFonts w:ascii="Verdana" w:hAnsi="Verdana" w:cs="Verdana"/>
          <w:sz w:val="20"/>
          <w:szCs w:val="20"/>
        </w:rPr>
        <w:t>benefits</w:t>
      </w:r>
      <w:r w:rsidR="00685856" w:rsidRPr="009C1B31">
        <w:rPr>
          <w:rFonts w:ascii="Verdana" w:hAnsi="Verdana" w:cs="Verdana"/>
          <w:sz w:val="20"/>
          <w:szCs w:val="20"/>
        </w:rPr>
        <w:t xml:space="preserve"> category.</w:t>
      </w:r>
      <w:r w:rsidR="00685856">
        <w:rPr>
          <w:rFonts w:ascii="Verdana" w:hAnsi="Verdana" w:cs="Verdana"/>
          <w:sz w:val="20"/>
          <w:szCs w:val="20"/>
        </w:rPr>
        <w:t xml:space="preserve"> </w:t>
      </w:r>
      <w:r w:rsidR="00685856"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B85010">
        <w:rPr>
          <w:rFonts w:ascii="Verdana" w:hAnsi="Verdana" w:cs="Verdana"/>
          <w:sz w:val="20"/>
          <w:szCs w:val="20"/>
        </w:rPr>
        <w:t xml:space="preserve">&amp; Operations </w:t>
      </w:r>
      <w:r w:rsidR="00685856" w:rsidRPr="00685856">
        <w:rPr>
          <w:rFonts w:ascii="Verdana" w:hAnsi="Verdana" w:cs="Verdana"/>
          <w:sz w:val="20"/>
          <w:szCs w:val="20"/>
        </w:rPr>
        <w:t xml:space="preserve">Division at 877.242.6007. </w:t>
      </w:r>
    </w:p>
    <w:sectPr w:rsidR="00472D0E" w:rsidRPr="009C1B31" w:rsidSect="00377242">
      <w:headerReference w:type="default" r:id="rId17"/>
      <w:footerReference w:type="even" r:id="rId18"/>
      <w:footerReference w:type="default" r:id="rId19"/>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F2" w:rsidRDefault="00F230F2">
      <w:r>
        <w:separator/>
      </w:r>
    </w:p>
  </w:endnote>
  <w:endnote w:type="continuationSeparator" w:id="0">
    <w:p w:rsidR="00F230F2" w:rsidRDefault="00F2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42" w:rsidRDefault="00D45C2D">
    <w:pPr>
      <w:pStyle w:val="Footer"/>
      <w:framePr w:wrap="around" w:vAnchor="text" w:hAnchor="margin" w:xAlign="right" w:y="1"/>
      <w:rPr>
        <w:rStyle w:val="PageNumber"/>
      </w:rPr>
    </w:pPr>
    <w:r>
      <w:rPr>
        <w:rStyle w:val="PageNumber"/>
      </w:rPr>
      <w:fldChar w:fldCharType="begin"/>
    </w:r>
    <w:r w:rsidR="00377242">
      <w:rPr>
        <w:rStyle w:val="PageNumber"/>
      </w:rPr>
      <w:instrText xml:space="preserve">PAGE  </w:instrText>
    </w:r>
    <w:r>
      <w:rPr>
        <w:rStyle w:val="PageNumber"/>
      </w:rPr>
      <w:fldChar w:fldCharType="separate"/>
    </w:r>
    <w:r w:rsidR="009B7707">
      <w:rPr>
        <w:rStyle w:val="PageNumber"/>
        <w:noProof/>
      </w:rPr>
      <w:t>1</w:t>
    </w:r>
    <w:r>
      <w:rPr>
        <w:rStyle w:val="PageNumber"/>
      </w:rPr>
      <w:fldChar w:fldCharType="end"/>
    </w:r>
  </w:p>
  <w:p w:rsidR="00377242" w:rsidRDefault="00377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42" w:rsidRPr="009C1B31" w:rsidRDefault="00D45C2D">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3772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7092A">
      <w:rPr>
        <w:rStyle w:val="PageNumber"/>
        <w:rFonts w:ascii="Verdana" w:hAnsi="Verdana"/>
        <w:noProof/>
        <w:sz w:val="20"/>
        <w:szCs w:val="20"/>
      </w:rPr>
      <w:t>1</w:t>
    </w:r>
    <w:r w:rsidRPr="009C1B31">
      <w:rPr>
        <w:rStyle w:val="PageNumber"/>
        <w:rFonts w:ascii="Verdana" w:hAnsi="Verdana"/>
        <w:sz w:val="20"/>
        <w:szCs w:val="20"/>
      </w:rPr>
      <w:fldChar w:fldCharType="end"/>
    </w:r>
  </w:p>
  <w:p w:rsidR="00377242" w:rsidRDefault="003772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F2" w:rsidRDefault="00F230F2">
      <w:r>
        <w:separator/>
      </w:r>
    </w:p>
  </w:footnote>
  <w:footnote w:type="continuationSeparator" w:id="0">
    <w:p w:rsidR="00F230F2" w:rsidRDefault="00F2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31" w:rsidRDefault="009C1B31" w:rsidP="00FF2959">
    <w:pPr>
      <w:pStyle w:val="Header"/>
      <w:tabs>
        <w:tab w:val="clear" w:pos="8640"/>
        <w:tab w:val="right" w:pos="9360"/>
      </w:tabs>
      <w:rPr>
        <w:rFonts w:ascii="Verdana" w:hAnsi="Verdana" w:cs="Arial"/>
        <w:b/>
        <w:bCs/>
        <w:sz w:val="28"/>
        <w:szCs w:val="28"/>
      </w:rPr>
    </w:pPr>
  </w:p>
  <w:p w:rsidR="00377242" w:rsidRPr="00870071" w:rsidRDefault="00E7092A"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DE2AF9">
          <w:rPr>
            <w:rFonts w:ascii="Verdana" w:hAnsi="Verdana" w:cs="Arial"/>
            <w:b/>
            <w:bCs/>
            <w:sz w:val="28"/>
            <w:szCs w:val="28"/>
          </w:rPr>
          <w:t>Benefits Alert</w:t>
        </w:r>
      </w:sdtContent>
    </w:sdt>
    <w:r w:rsidR="00377242" w:rsidRPr="00870071">
      <w:rPr>
        <w:rFonts w:ascii="Verdana" w:hAnsi="Verdana" w:cs="Arial"/>
        <w:b/>
        <w:bCs/>
        <w:sz w:val="28"/>
        <w:szCs w:val="28"/>
      </w:rPr>
      <w:tab/>
    </w:r>
    <w:r w:rsidR="00377242" w:rsidRPr="00870071">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BF350C">
          <w:rPr>
            <w:rFonts w:ascii="Verdana" w:hAnsi="Verdana" w:cs="Arial"/>
            <w:b/>
            <w:bCs/>
            <w:sz w:val="28"/>
            <w:szCs w:val="28"/>
          </w:rPr>
          <w:t>2016-</w:t>
        </w:r>
        <w:r w:rsidR="00DF0A68">
          <w:rPr>
            <w:rFonts w:ascii="Verdana" w:hAnsi="Verdana" w:cs="Arial"/>
            <w:b/>
            <w:bCs/>
            <w:sz w:val="28"/>
            <w:szCs w:val="28"/>
          </w:rPr>
          <w:t>05</w:t>
        </w:r>
      </w:sdtContent>
    </w:sdt>
  </w:p>
  <w:p w:rsidR="00405CB0" w:rsidRPr="00552089" w:rsidRDefault="00377242" w:rsidP="00FF2959">
    <w:pPr>
      <w:pStyle w:val="Header"/>
      <w:tabs>
        <w:tab w:val="clear" w:pos="8640"/>
        <w:tab w:val="right" w:pos="9360"/>
      </w:tabs>
      <w:rPr>
        <w:rFonts w:ascii="Verdana" w:hAnsi="Verdana" w:cs="Arial"/>
        <w:sz w:val="20"/>
        <w:szCs w:val="20"/>
      </w:rPr>
    </w:pPr>
    <w:r w:rsidRPr="00552089">
      <w:rPr>
        <w:rFonts w:ascii="Verdana" w:hAnsi="Verdana" w:cs="Arial"/>
        <w:sz w:val="20"/>
        <w:szCs w:val="20"/>
      </w:rPr>
      <w:t>Issued</w:t>
    </w:r>
    <w:r w:rsidR="00BF350C">
      <w:rPr>
        <w:rFonts w:ascii="Verdana" w:hAnsi="Verdana" w:cs="Arial"/>
        <w:sz w:val="20"/>
        <w:szCs w:val="20"/>
      </w:rPr>
      <w:t xml:space="preserve"> </w:t>
    </w:r>
    <w:r w:rsidR="00DF0A68">
      <w:rPr>
        <w:rFonts w:ascii="Verdana" w:hAnsi="Verdana" w:cs="Arial"/>
        <w:sz w:val="20"/>
        <w:szCs w:val="20"/>
      </w:rPr>
      <w:t>12.30.2016</w:t>
    </w:r>
  </w:p>
  <w:p w:rsidR="009C1B31" w:rsidRPr="00552089" w:rsidRDefault="009C1B31"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8D27BB"/>
    <w:multiLevelType w:val="hybridMultilevel"/>
    <w:tmpl w:val="BD84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B0D91"/>
    <w:multiLevelType w:val="hybridMultilevel"/>
    <w:tmpl w:val="500678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2478D2"/>
    <w:multiLevelType w:val="hybridMultilevel"/>
    <w:tmpl w:val="91C2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1"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1092F38"/>
    <w:multiLevelType w:val="hybridMultilevel"/>
    <w:tmpl w:val="66426A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1A22E8E"/>
    <w:multiLevelType w:val="hybridMultilevel"/>
    <w:tmpl w:val="AB38F28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82B5389"/>
    <w:multiLevelType w:val="hybridMultilevel"/>
    <w:tmpl w:val="E86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B943B5A"/>
    <w:multiLevelType w:val="hybridMultilevel"/>
    <w:tmpl w:val="4DF2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3570A27"/>
    <w:multiLevelType w:val="hybridMultilevel"/>
    <w:tmpl w:val="45AA07EC"/>
    <w:lvl w:ilvl="0" w:tplc="2BEC5C44">
      <w:start w:val="1"/>
      <w:numFmt w:val="decimal"/>
      <w:lvlText w:val="%1)"/>
      <w:lvlJc w:val="left"/>
      <w:pPr>
        <w:tabs>
          <w:tab w:val="num" w:pos="720"/>
        </w:tabs>
        <w:ind w:left="720" w:hanging="360"/>
      </w:pPr>
    </w:lvl>
    <w:lvl w:ilvl="1" w:tplc="03CE39EE" w:tentative="1">
      <w:start w:val="1"/>
      <w:numFmt w:val="decimal"/>
      <w:lvlText w:val="%2)"/>
      <w:lvlJc w:val="left"/>
      <w:pPr>
        <w:tabs>
          <w:tab w:val="num" w:pos="1440"/>
        </w:tabs>
        <w:ind w:left="1440" w:hanging="360"/>
      </w:pPr>
    </w:lvl>
    <w:lvl w:ilvl="2" w:tplc="C400EB68" w:tentative="1">
      <w:start w:val="1"/>
      <w:numFmt w:val="decimal"/>
      <w:lvlText w:val="%3)"/>
      <w:lvlJc w:val="left"/>
      <w:pPr>
        <w:tabs>
          <w:tab w:val="num" w:pos="2160"/>
        </w:tabs>
        <w:ind w:left="2160" w:hanging="360"/>
      </w:pPr>
    </w:lvl>
    <w:lvl w:ilvl="3" w:tplc="75E419B4" w:tentative="1">
      <w:start w:val="1"/>
      <w:numFmt w:val="decimal"/>
      <w:lvlText w:val="%4)"/>
      <w:lvlJc w:val="left"/>
      <w:pPr>
        <w:tabs>
          <w:tab w:val="num" w:pos="2880"/>
        </w:tabs>
        <w:ind w:left="2880" w:hanging="360"/>
      </w:pPr>
    </w:lvl>
    <w:lvl w:ilvl="4" w:tplc="672EA87A" w:tentative="1">
      <w:start w:val="1"/>
      <w:numFmt w:val="decimal"/>
      <w:lvlText w:val="%5)"/>
      <w:lvlJc w:val="left"/>
      <w:pPr>
        <w:tabs>
          <w:tab w:val="num" w:pos="3600"/>
        </w:tabs>
        <w:ind w:left="3600" w:hanging="360"/>
      </w:pPr>
    </w:lvl>
    <w:lvl w:ilvl="5" w:tplc="FC7607D0" w:tentative="1">
      <w:start w:val="1"/>
      <w:numFmt w:val="decimal"/>
      <w:lvlText w:val="%6)"/>
      <w:lvlJc w:val="left"/>
      <w:pPr>
        <w:tabs>
          <w:tab w:val="num" w:pos="4320"/>
        </w:tabs>
        <w:ind w:left="4320" w:hanging="360"/>
      </w:pPr>
    </w:lvl>
    <w:lvl w:ilvl="6" w:tplc="EF10BED0" w:tentative="1">
      <w:start w:val="1"/>
      <w:numFmt w:val="decimal"/>
      <w:lvlText w:val="%7)"/>
      <w:lvlJc w:val="left"/>
      <w:pPr>
        <w:tabs>
          <w:tab w:val="num" w:pos="5040"/>
        </w:tabs>
        <w:ind w:left="5040" w:hanging="360"/>
      </w:pPr>
    </w:lvl>
    <w:lvl w:ilvl="7" w:tplc="D5BC371A" w:tentative="1">
      <w:start w:val="1"/>
      <w:numFmt w:val="decimal"/>
      <w:lvlText w:val="%8)"/>
      <w:lvlJc w:val="left"/>
      <w:pPr>
        <w:tabs>
          <w:tab w:val="num" w:pos="5760"/>
        </w:tabs>
        <w:ind w:left="5760" w:hanging="360"/>
      </w:pPr>
    </w:lvl>
    <w:lvl w:ilvl="8" w:tplc="39FE1DEE" w:tentative="1">
      <w:start w:val="1"/>
      <w:numFmt w:val="decimal"/>
      <w:lvlText w:val="%9)"/>
      <w:lvlJc w:val="left"/>
      <w:pPr>
        <w:tabs>
          <w:tab w:val="num" w:pos="6480"/>
        </w:tabs>
        <w:ind w:left="6480" w:hanging="360"/>
      </w:pPr>
    </w:lvl>
  </w:abstractNum>
  <w:abstractNum w:abstractNumId="35" w15:restartNumberingAfterBreak="0">
    <w:nsid w:val="5A107358"/>
    <w:multiLevelType w:val="hybridMultilevel"/>
    <w:tmpl w:val="A77232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100487"/>
    <w:multiLevelType w:val="hybridMultilevel"/>
    <w:tmpl w:val="D5F6F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1675A14"/>
    <w:multiLevelType w:val="hybridMultilevel"/>
    <w:tmpl w:val="005AE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F2FEE"/>
    <w:multiLevelType w:val="hybridMultilevel"/>
    <w:tmpl w:val="04AA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22BF1"/>
    <w:multiLevelType w:val="hybridMultilevel"/>
    <w:tmpl w:val="E7F67DDC"/>
    <w:lvl w:ilvl="0" w:tplc="01BE4648">
      <w:start w:val="1"/>
      <w:numFmt w:val="bullet"/>
      <w:lvlText w:val="o"/>
      <w:lvlJc w:val="left"/>
      <w:pPr>
        <w:tabs>
          <w:tab w:val="num" w:pos="720"/>
        </w:tabs>
        <w:ind w:left="720" w:hanging="360"/>
      </w:pPr>
      <w:rPr>
        <w:rFonts w:ascii="Courier New" w:hAnsi="Courier New" w:hint="default"/>
      </w:rPr>
    </w:lvl>
    <w:lvl w:ilvl="1" w:tplc="A49C874A" w:tentative="1">
      <w:start w:val="1"/>
      <w:numFmt w:val="bullet"/>
      <w:lvlText w:val="o"/>
      <w:lvlJc w:val="left"/>
      <w:pPr>
        <w:tabs>
          <w:tab w:val="num" w:pos="1440"/>
        </w:tabs>
        <w:ind w:left="1440" w:hanging="360"/>
      </w:pPr>
      <w:rPr>
        <w:rFonts w:ascii="Courier New" w:hAnsi="Courier New" w:hint="default"/>
      </w:rPr>
    </w:lvl>
    <w:lvl w:ilvl="2" w:tplc="AA9EDB90" w:tentative="1">
      <w:start w:val="1"/>
      <w:numFmt w:val="bullet"/>
      <w:lvlText w:val="o"/>
      <w:lvlJc w:val="left"/>
      <w:pPr>
        <w:tabs>
          <w:tab w:val="num" w:pos="2160"/>
        </w:tabs>
        <w:ind w:left="2160" w:hanging="360"/>
      </w:pPr>
      <w:rPr>
        <w:rFonts w:ascii="Courier New" w:hAnsi="Courier New" w:hint="default"/>
      </w:rPr>
    </w:lvl>
    <w:lvl w:ilvl="3" w:tplc="B31A925E" w:tentative="1">
      <w:start w:val="1"/>
      <w:numFmt w:val="bullet"/>
      <w:lvlText w:val="o"/>
      <w:lvlJc w:val="left"/>
      <w:pPr>
        <w:tabs>
          <w:tab w:val="num" w:pos="2880"/>
        </w:tabs>
        <w:ind w:left="2880" w:hanging="360"/>
      </w:pPr>
      <w:rPr>
        <w:rFonts w:ascii="Courier New" w:hAnsi="Courier New" w:hint="default"/>
      </w:rPr>
    </w:lvl>
    <w:lvl w:ilvl="4" w:tplc="A68009CC" w:tentative="1">
      <w:start w:val="1"/>
      <w:numFmt w:val="bullet"/>
      <w:lvlText w:val="o"/>
      <w:lvlJc w:val="left"/>
      <w:pPr>
        <w:tabs>
          <w:tab w:val="num" w:pos="3600"/>
        </w:tabs>
        <w:ind w:left="3600" w:hanging="360"/>
      </w:pPr>
      <w:rPr>
        <w:rFonts w:ascii="Courier New" w:hAnsi="Courier New" w:hint="default"/>
      </w:rPr>
    </w:lvl>
    <w:lvl w:ilvl="5" w:tplc="284075A2" w:tentative="1">
      <w:start w:val="1"/>
      <w:numFmt w:val="bullet"/>
      <w:lvlText w:val="o"/>
      <w:lvlJc w:val="left"/>
      <w:pPr>
        <w:tabs>
          <w:tab w:val="num" w:pos="4320"/>
        </w:tabs>
        <w:ind w:left="4320" w:hanging="360"/>
      </w:pPr>
      <w:rPr>
        <w:rFonts w:ascii="Courier New" w:hAnsi="Courier New" w:hint="default"/>
      </w:rPr>
    </w:lvl>
    <w:lvl w:ilvl="6" w:tplc="51B62F7E" w:tentative="1">
      <w:start w:val="1"/>
      <w:numFmt w:val="bullet"/>
      <w:lvlText w:val="o"/>
      <w:lvlJc w:val="left"/>
      <w:pPr>
        <w:tabs>
          <w:tab w:val="num" w:pos="5040"/>
        </w:tabs>
        <w:ind w:left="5040" w:hanging="360"/>
      </w:pPr>
      <w:rPr>
        <w:rFonts w:ascii="Courier New" w:hAnsi="Courier New" w:hint="default"/>
      </w:rPr>
    </w:lvl>
    <w:lvl w:ilvl="7" w:tplc="3EEAF9EA" w:tentative="1">
      <w:start w:val="1"/>
      <w:numFmt w:val="bullet"/>
      <w:lvlText w:val="o"/>
      <w:lvlJc w:val="left"/>
      <w:pPr>
        <w:tabs>
          <w:tab w:val="num" w:pos="5760"/>
        </w:tabs>
        <w:ind w:left="5760" w:hanging="360"/>
      </w:pPr>
      <w:rPr>
        <w:rFonts w:ascii="Courier New" w:hAnsi="Courier New" w:hint="default"/>
      </w:rPr>
    </w:lvl>
    <w:lvl w:ilvl="8" w:tplc="4658F44A"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6"/>
  </w:num>
  <w:num w:numId="3">
    <w:abstractNumId w:val="22"/>
  </w:num>
  <w:num w:numId="4">
    <w:abstractNumId w:val="37"/>
  </w:num>
  <w:num w:numId="5">
    <w:abstractNumId w:val="39"/>
  </w:num>
  <w:num w:numId="6">
    <w:abstractNumId w:val="33"/>
  </w:num>
  <w:num w:numId="7">
    <w:abstractNumId w:val="16"/>
  </w:num>
  <w:num w:numId="8">
    <w:abstractNumId w:val="38"/>
  </w:num>
  <w:num w:numId="9">
    <w:abstractNumId w:val="9"/>
  </w:num>
  <w:num w:numId="10">
    <w:abstractNumId w:val="25"/>
  </w:num>
  <w:num w:numId="11">
    <w:abstractNumId w:val="15"/>
  </w:num>
  <w:num w:numId="12">
    <w:abstractNumId w:val="44"/>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5"/>
  </w:num>
  <w:num w:numId="20">
    <w:abstractNumId w:val="1"/>
  </w:num>
  <w:num w:numId="21">
    <w:abstractNumId w:val="4"/>
  </w:num>
  <w:num w:numId="22">
    <w:abstractNumId w:val="21"/>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18"/>
  </w:num>
  <w:num w:numId="28">
    <w:abstractNumId w:val="13"/>
  </w:num>
  <w:num w:numId="29">
    <w:abstractNumId w:val="20"/>
  </w:num>
  <w:num w:numId="30">
    <w:abstractNumId w:val="27"/>
  </w:num>
  <w:num w:numId="31">
    <w:abstractNumId w:val="43"/>
  </w:num>
  <w:num w:numId="32">
    <w:abstractNumId w:val="7"/>
  </w:num>
  <w:num w:numId="33">
    <w:abstractNumId w:val="19"/>
  </w:num>
  <w:num w:numId="34">
    <w:abstractNumId w:val="41"/>
  </w:num>
  <w:num w:numId="35">
    <w:abstractNumId w:val="23"/>
  </w:num>
  <w:num w:numId="36">
    <w:abstractNumId w:val="35"/>
  </w:num>
  <w:num w:numId="37">
    <w:abstractNumId w:val="34"/>
  </w:num>
  <w:num w:numId="38">
    <w:abstractNumId w:val="42"/>
  </w:num>
  <w:num w:numId="39">
    <w:abstractNumId w:val="40"/>
  </w:num>
  <w:num w:numId="40">
    <w:abstractNumId w:val="24"/>
  </w:num>
  <w:num w:numId="41">
    <w:abstractNumId w:val="8"/>
  </w:num>
  <w:num w:numId="42">
    <w:abstractNumId w:val="5"/>
  </w:num>
  <w:num w:numId="43">
    <w:abstractNumId w:val="32"/>
  </w:num>
  <w:num w:numId="44">
    <w:abstractNumId w:val="29"/>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C3"/>
    <w:rsid w:val="00010771"/>
    <w:rsid w:val="000128F7"/>
    <w:rsid w:val="00015F8F"/>
    <w:rsid w:val="00021C09"/>
    <w:rsid w:val="00041A44"/>
    <w:rsid w:val="0005786D"/>
    <w:rsid w:val="000677CE"/>
    <w:rsid w:val="000973C3"/>
    <w:rsid w:val="00097ACF"/>
    <w:rsid w:val="000A0B0D"/>
    <w:rsid w:val="000B521B"/>
    <w:rsid w:val="000C2E70"/>
    <w:rsid w:val="000D1069"/>
    <w:rsid w:val="000D78CE"/>
    <w:rsid w:val="000E4D76"/>
    <w:rsid w:val="000E559E"/>
    <w:rsid w:val="000E6E8E"/>
    <w:rsid w:val="00106466"/>
    <w:rsid w:val="0011336B"/>
    <w:rsid w:val="00123562"/>
    <w:rsid w:val="00135131"/>
    <w:rsid w:val="00142029"/>
    <w:rsid w:val="00163F86"/>
    <w:rsid w:val="00183489"/>
    <w:rsid w:val="00193682"/>
    <w:rsid w:val="00194B6C"/>
    <w:rsid w:val="001A41E9"/>
    <w:rsid w:val="001B0075"/>
    <w:rsid w:val="001B0E49"/>
    <w:rsid w:val="001B397E"/>
    <w:rsid w:val="001B3B1F"/>
    <w:rsid w:val="001D27AD"/>
    <w:rsid w:val="001E5838"/>
    <w:rsid w:val="001F3743"/>
    <w:rsid w:val="001F6C5D"/>
    <w:rsid w:val="00204AB0"/>
    <w:rsid w:val="002167FB"/>
    <w:rsid w:val="0023444A"/>
    <w:rsid w:val="00254EAB"/>
    <w:rsid w:val="00254EC9"/>
    <w:rsid w:val="00261AF4"/>
    <w:rsid w:val="00262C4D"/>
    <w:rsid w:val="0026477D"/>
    <w:rsid w:val="00273B57"/>
    <w:rsid w:val="00276FBD"/>
    <w:rsid w:val="00296667"/>
    <w:rsid w:val="0029768F"/>
    <w:rsid w:val="002A29AE"/>
    <w:rsid w:val="002B1873"/>
    <w:rsid w:val="002D05F5"/>
    <w:rsid w:val="002D5FEF"/>
    <w:rsid w:val="002E2EC1"/>
    <w:rsid w:val="002E7326"/>
    <w:rsid w:val="002E7E5C"/>
    <w:rsid w:val="002F0C17"/>
    <w:rsid w:val="00303D42"/>
    <w:rsid w:val="00303DED"/>
    <w:rsid w:val="00307692"/>
    <w:rsid w:val="00313555"/>
    <w:rsid w:val="003150F9"/>
    <w:rsid w:val="00320821"/>
    <w:rsid w:val="00331372"/>
    <w:rsid w:val="00333544"/>
    <w:rsid w:val="003356D1"/>
    <w:rsid w:val="0034555B"/>
    <w:rsid w:val="00347FF8"/>
    <w:rsid w:val="00363E80"/>
    <w:rsid w:val="00367AE5"/>
    <w:rsid w:val="00377242"/>
    <w:rsid w:val="00387972"/>
    <w:rsid w:val="00393894"/>
    <w:rsid w:val="003C15FE"/>
    <w:rsid w:val="003D3C16"/>
    <w:rsid w:val="003F1703"/>
    <w:rsid w:val="003F28EF"/>
    <w:rsid w:val="003F45B6"/>
    <w:rsid w:val="00405CB0"/>
    <w:rsid w:val="00406094"/>
    <w:rsid w:val="00412D1B"/>
    <w:rsid w:val="004231E8"/>
    <w:rsid w:val="00431645"/>
    <w:rsid w:val="00434823"/>
    <w:rsid w:val="00453B8D"/>
    <w:rsid w:val="00466463"/>
    <w:rsid w:val="00472D0E"/>
    <w:rsid w:val="00473681"/>
    <w:rsid w:val="004821A6"/>
    <w:rsid w:val="0048680C"/>
    <w:rsid w:val="004A037D"/>
    <w:rsid w:val="004A099E"/>
    <w:rsid w:val="004B0309"/>
    <w:rsid w:val="004B0360"/>
    <w:rsid w:val="004D2081"/>
    <w:rsid w:val="004E1A78"/>
    <w:rsid w:val="004F5CF9"/>
    <w:rsid w:val="00517E5B"/>
    <w:rsid w:val="00525B66"/>
    <w:rsid w:val="00526EB1"/>
    <w:rsid w:val="00531D0D"/>
    <w:rsid w:val="005420FE"/>
    <w:rsid w:val="00552089"/>
    <w:rsid w:val="00557B92"/>
    <w:rsid w:val="00561F4C"/>
    <w:rsid w:val="005658F9"/>
    <w:rsid w:val="00575F1A"/>
    <w:rsid w:val="00581953"/>
    <w:rsid w:val="005973C5"/>
    <w:rsid w:val="005B3451"/>
    <w:rsid w:val="005C0E77"/>
    <w:rsid w:val="005D45D6"/>
    <w:rsid w:val="005E08F8"/>
    <w:rsid w:val="005E5A3F"/>
    <w:rsid w:val="005F11FE"/>
    <w:rsid w:val="005F5C01"/>
    <w:rsid w:val="005F6C66"/>
    <w:rsid w:val="00602857"/>
    <w:rsid w:val="00611055"/>
    <w:rsid w:val="0061211C"/>
    <w:rsid w:val="00615751"/>
    <w:rsid w:val="00616F18"/>
    <w:rsid w:val="006268A7"/>
    <w:rsid w:val="0063058E"/>
    <w:rsid w:val="0063484A"/>
    <w:rsid w:val="00655AA4"/>
    <w:rsid w:val="0067247D"/>
    <w:rsid w:val="00673338"/>
    <w:rsid w:val="00673B28"/>
    <w:rsid w:val="00675176"/>
    <w:rsid w:val="00685856"/>
    <w:rsid w:val="00692502"/>
    <w:rsid w:val="006969F8"/>
    <w:rsid w:val="006A226E"/>
    <w:rsid w:val="006A2AA1"/>
    <w:rsid w:val="006A69FD"/>
    <w:rsid w:val="006B18F9"/>
    <w:rsid w:val="006B2DEB"/>
    <w:rsid w:val="006C05AB"/>
    <w:rsid w:val="006C3972"/>
    <w:rsid w:val="006D7B98"/>
    <w:rsid w:val="006E13F8"/>
    <w:rsid w:val="006E3735"/>
    <w:rsid w:val="006F085B"/>
    <w:rsid w:val="006F0AFA"/>
    <w:rsid w:val="006F7B2C"/>
    <w:rsid w:val="007008F5"/>
    <w:rsid w:val="00701E68"/>
    <w:rsid w:val="007142A8"/>
    <w:rsid w:val="00725A65"/>
    <w:rsid w:val="00755125"/>
    <w:rsid w:val="00761E16"/>
    <w:rsid w:val="00781D8D"/>
    <w:rsid w:val="00792831"/>
    <w:rsid w:val="007A4A1D"/>
    <w:rsid w:val="007B1C44"/>
    <w:rsid w:val="007B1F85"/>
    <w:rsid w:val="007B23C1"/>
    <w:rsid w:val="007D4312"/>
    <w:rsid w:val="007D4D67"/>
    <w:rsid w:val="007E608F"/>
    <w:rsid w:val="007F0EDA"/>
    <w:rsid w:val="0080336A"/>
    <w:rsid w:val="00817EAF"/>
    <w:rsid w:val="00825BAC"/>
    <w:rsid w:val="008333AC"/>
    <w:rsid w:val="00834767"/>
    <w:rsid w:val="00837988"/>
    <w:rsid w:val="00852857"/>
    <w:rsid w:val="00854632"/>
    <w:rsid w:val="00857868"/>
    <w:rsid w:val="00860E41"/>
    <w:rsid w:val="00865E95"/>
    <w:rsid w:val="00870071"/>
    <w:rsid w:val="00877848"/>
    <w:rsid w:val="00892D7C"/>
    <w:rsid w:val="008B5463"/>
    <w:rsid w:val="008D04D2"/>
    <w:rsid w:val="008E042F"/>
    <w:rsid w:val="008E1025"/>
    <w:rsid w:val="008F45A4"/>
    <w:rsid w:val="008F61D5"/>
    <w:rsid w:val="008F71C2"/>
    <w:rsid w:val="00900FC9"/>
    <w:rsid w:val="009045FA"/>
    <w:rsid w:val="00911E3D"/>
    <w:rsid w:val="0093519B"/>
    <w:rsid w:val="00944F2D"/>
    <w:rsid w:val="009561C3"/>
    <w:rsid w:val="009562ED"/>
    <w:rsid w:val="00960CE1"/>
    <w:rsid w:val="00971D59"/>
    <w:rsid w:val="00981D1D"/>
    <w:rsid w:val="00982221"/>
    <w:rsid w:val="00984676"/>
    <w:rsid w:val="009870B6"/>
    <w:rsid w:val="00996592"/>
    <w:rsid w:val="009A25EE"/>
    <w:rsid w:val="009A7700"/>
    <w:rsid w:val="009B7707"/>
    <w:rsid w:val="009C1128"/>
    <w:rsid w:val="009C1B31"/>
    <w:rsid w:val="009C7C5D"/>
    <w:rsid w:val="009D3D39"/>
    <w:rsid w:val="009D4082"/>
    <w:rsid w:val="00A11750"/>
    <w:rsid w:val="00A16566"/>
    <w:rsid w:val="00A17DBF"/>
    <w:rsid w:val="00A256E4"/>
    <w:rsid w:val="00A416A3"/>
    <w:rsid w:val="00A43D87"/>
    <w:rsid w:val="00A62629"/>
    <w:rsid w:val="00A70058"/>
    <w:rsid w:val="00A82449"/>
    <w:rsid w:val="00A85CEE"/>
    <w:rsid w:val="00A92752"/>
    <w:rsid w:val="00A9430B"/>
    <w:rsid w:val="00AA09D9"/>
    <w:rsid w:val="00AA4B7F"/>
    <w:rsid w:val="00AC4B6F"/>
    <w:rsid w:val="00AD22B0"/>
    <w:rsid w:val="00AD3016"/>
    <w:rsid w:val="00AD38C5"/>
    <w:rsid w:val="00AE3238"/>
    <w:rsid w:val="00AF38B4"/>
    <w:rsid w:val="00B070F3"/>
    <w:rsid w:val="00B12AD2"/>
    <w:rsid w:val="00B20ABD"/>
    <w:rsid w:val="00B3324C"/>
    <w:rsid w:val="00B36262"/>
    <w:rsid w:val="00B44329"/>
    <w:rsid w:val="00B458B2"/>
    <w:rsid w:val="00B45EB7"/>
    <w:rsid w:val="00B45FF1"/>
    <w:rsid w:val="00B517A2"/>
    <w:rsid w:val="00B57E09"/>
    <w:rsid w:val="00B653EB"/>
    <w:rsid w:val="00B84B15"/>
    <w:rsid w:val="00B85010"/>
    <w:rsid w:val="00B9185C"/>
    <w:rsid w:val="00BA623A"/>
    <w:rsid w:val="00BB5CD3"/>
    <w:rsid w:val="00BC08E6"/>
    <w:rsid w:val="00BC2E24"/>
    <w:rsid w:val="00BD051B"/>
    <w:rsid w:val="00BD0E3C"/>
    <w:rsid w:val="00BD2C80"/>
    <w:rsid w:val="00BE5A9B"/>
    <w:rsid w:val="00BF350C"/>
    <w:rsid w:val="00BF47D0"/>
    <w:rsid w:val="00BF7E99"/>
    <w:rsid w:val="00C01071"/>
    <w:rsid w:val="00C0693F"/>
    <w:rsid w:val="00C13502"/>
    <w:rsid w:val="00C17AD1"/>
    <w:rsid w:val="00C26D8E"/>
    <w:rsid w:val="00C26F35"/>
    <w:rsid w:val="00C37928"/>
    <w:rsid w:val="00C45B7D"/>
    <w:rsid w:val="00C5303C"/>
    <w:rsid w:val="00C62637"/>
    <w:rsid w:val="00C65201"/>
    <w:rsid w:val="00C75B10"/>
    <w:rsid w:val="00C7709E"/>
    <w:rsid w:val="00C8765C"/>
    <w:rsid w:val="00C9010D"/>
    <w:rsid w:val="00C90692"/>
    <w:rsid w:val="00C9285D"/>
    <w:rsid w:val="00C928E2"/>
    <w:rsid w:val="00C977C2"/>
    <w:rsid w:val="00CC022A"/>
    <w:rsid w:val="00CD6CB5"/>
    <w:rsid w:val="00CF3A9C"/>
    <w:rsid w:val="00D16C5E"/>
    <w:rsid w:val="00D2172A"/>
    <w:rsid w:val="00D31F60"/>
    <w:rsid w:val="00D32413"/>
    <w:rsid w:val="00D45C2D"/>
    <w:rsid w:val="00D52F2E"/>
    <w:rsid w:val="00D74829"/>
    <w:rsid w:val="00DA33AF"/>
    <w:rsid w:val="00DB53B0"/>
    <w:rsid w:val="00DB5A17"/>
    <w:rsid w:val="00DC467C"/>
    <w:rsid w:val="00DD3D5B"/>
    <w:rsid w:val="00DE0508"/>
    <w:rsid w:val="00DE2AF9"/>
    <w:rsid w:val="00DE697D"/>
    <w:rsid w:val="00DF0A68"/>
    <w:rsid w:val="00DF4D1A"/>
    <w:rsid w:val="00DF65DF"/>
    <w:rsid w:val="00E02E6B"/>
    <w:rsid w:val="00E15F7F"/>
    <w:rsid w:val="00E16248"/>
    <w:rsid w:val="00E27E23"/>
    <w:rsid w:val="00E312AC"/>
    <w:rsid w:val="00E404C3"/>
    <w:rsid w:val="00E423AD"/>
    <w:rsid w:val="00E42C77"/>
    <w:rsid w:val="00E44989"/>
    <w:rsid w:val="00E44A9D"/>
    <w:rsid w:val="00E4597C"/>
    <w:rsid w:val="00E47F87"/>
    <w:rsid w:val="00E55166"/>
    <w:rsid w:val="00E56507"/>
    <w:rsid w:val="00E6374D"/>
    <w:rsid w:val="00E7092A"/>
    <w:rsid w:val="00E7139F"/>
    <w:rsid w:val="00E800B7"/>
    <w:rsid w:val="00E90592"/>
    <w:rsid w:val="00E94423"/>
    <w:rsid w:val="00E94FDB"/>
    <w:rsid w:val="00EB4892"/>
    <w:rsid w:val="00EC04F8"/>
    <w:rsid w:val="00EC0C8B"/>
    <w:rsid w:val="00ED3F09"/>
    <w:rsid w:val="00ED5D52"/>
    <w:rsid w:val="00EE0BBB"/>
    <w:rsid w:val="00EE14CE"/>
    <w:rsid w:val="00EE4243"/>
    <w:rsid w:val="00F007DB"/>
    <w:rsid w:val="00F15489"/>
    <w:rsid w:val="00F16B64"/>
    <w:rsid w:val="00F230F2"/>
    <w:rsid w:val="00F2375B"/>
    <w:rsid w:val="00F359CE"/>
    <w:rsid w:val="00F37C24"/>
    <w:rsid w:val="00F45499"/>
    <w:rsid w:val="00F46EFC"/>
    <w:rsid w:val="00F5284F"/>
    <w:rsid w:val="00F52B85"/>
    <w:rsid w:val="00F54727"/>
    <w:rsid w:val="00F8399F"/>
    <w:rsid w:val="00F83E5D"/>
    <w:rsid w:val="00F8614A"/>
    <w:rsid w:val="00F910DD"/>
    <w:rsid w:val="00FA169A"/>
    <w:rsid w:val="00FA4911"/>
    <w:rsid w:val="00FC1D7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45BC02-B197-4F1B-AAB4-1F3D713B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1">
    <w:name w:val="EmailStyle361"/>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B12AD2"/>
    <w:pPr>
      <w:ind w:left="720"/>
      <w:contextualSpacing/>
    </w:pPr>
  </w:style>
  <w:style w:type="paragraph" w:styleId="NoSpacing">
    <w:name w:val="No Spacing"/>
    <w:uiPriority w:val="1"/>
    <w:qFormat/>
    <w:rsid w:val="005F11F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6202">
      <w:bodyDiv w:val="1"/>
      <w:marLeft w:val="0"/>
      <w:marRight w:val="0"/>
      <w:marTop w:val="0"/>
      <w:marBottom w:val="0"/>
      <w:divBdr>
        <w:top w:val="none" w:sz="0" w:space="0" w:color="auto"/>
        <w:left w:val="none" w:sz="0" w:space="0" w:color="auto"/>
        <w:bottom w:val="none" w:sz="0" w:space="0" w:color="auto"/>
        <w:right w:val="none" w:sz="0" w:space="0" w:color="auto"/>
      </w:divBdr>
    </w:div>
    <w:div w:id="1350789948">
      <w:bodyDiv w:val="1"/>
      <w:marLeft w:val="0"/>
      <w:marRight w:val="0"/>
      <w:marTop w:val="0"/>
      <w:marBottom w:val="0"/>
      <w:divBdr>
        <w:top w:val="none" w:sz="0" w:space="0" w:color="auto"/>
        <w:left w:val="none" w:sz="0" w:space="0" w:color="auto"/>
        <w:bottom w:val="none" w:sz="0" w:space="0" w:color="auto"/>
        <w:right w:val="none" w:sz="0" w:space="0" w:color="auto"/>
      </w:divBdr>
    </w:div>
    <w:div w:id="1978801391">
      <w:bodyDiv w:val="1"/>
      <w:marLeft w:val="0"/>
      <w:marRight w:val="0"/>
      <w:marTop w:val="0"/>
      <w:marBottom w:val="0"/>
      <w:divBdr>
        <w:top w:val="none" w:sz="0" w:space="0" w:color="auto"/>
        <w:left w:val="none" w:sz="0" w:space="0" w:color="auto"/>
        <w:bottom w:val="none" w:sz="0" w:space="0" w:color="auto"/>
        <w:right w:val="none" w:sz="0" w:space="0" w:color="auto"/>
      </w:divBdr>
      <w:divsChild>
        <w:div w:id="90512382">
          <w:marLeft w:val="360"/>
          <w:marRight w:val="0"/>
          <w:marTop w:val="58"/>
          <w:marBottom w:val="0"/>
          <w:divBdr>
            <w:top w:val="none" w:sz="0" w:space="0" w:color="auto"/>
            <w:left w:val="none" w:sz="0" w:space="0" w:color="auto"/>
            <w:bottom w:val="none" w:sz="0" w:space="0" w:color="auto"/>
            <w:right w:val="none" w:sz="0" w:space="0" w:color="auto"/>
          </w:divBdr>
        </w:div>
        <w:div w:id="385570561">
          <w:marLeft w:val="547"/>
          <w:marRight w:val="0"/>
          <w:marTop w:val="58"/>
          <w:marBottom w:val="0"/>
          <w:divBdr>
            <w:top w:val="none" w:sz="0" w:space="0" w:color="auto"/>
            <w:left w:val="none" w:sz="0" w:space="0" w:color="auto"/>
            <w:bottom w:val="none" w:sz="0" w:space="0" w:color="auto"/>
            <w:right w:val="none" w:sz="0" w:space="0" w:color="auto"/>
          </w:divBdr>
        </w:div>
        <w:div w:id="463083225">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256C4.79A5E6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oaiss.state.pa.us/HR-Pay_Help_De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SC\Agency%20Services%20and%20Operations\Operations\ALERTS\Templates\Benefits_Alert_2012_xx_Description_Tex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5B63EAE6184065B5EEE00523B83C85"/>
        <w:category>
          <w:name w:val="General"/>
          <w:gallery w:val="placeholder"/>
        </w:category>
        <w:types>
          <w:type w:val="bbPlcHdr"/>
        </w:types>
        <w:behaviors>
          <w:behavior w:val="content"/>
        </w:behaviors>
        <w:guid w:val="{D3DB9C47-352F-49D5-AB1A-905EB6642571}"/>
      </w:docPartPr>
      <w:docPartBody>
        <w:p w:rsidR="00320F9E" w:rsidRDefault="00320F9E">
          <w:pPr>
            <w:pStyle w:val="295B63EAE6184065B5EEE00523B83C85"/>
          </w:pPr>
          <w:r w:rsidRPr="00521103">
            <w:rPr>
              <w:rStyle w:val="PlaceholderText"/>
            </w:rPr>
            <w:t>[Subject]</w:t>
          </w:r>
        </w:p>
      </w:docPartBody>
    </w:docPart>
    <w:docPart>
      <w:docPartPr>
        <w:name w:val="5A5A8C2AC7F14295937F79E598D56509"/>
        <w:category>
          <w:name w:val="General"/>
          <w:gallery w:val="placeholder"/>
        </w:category>
        <w:types>
          <w:type w:val="bbPlcHdr"/>
        </w:types>
        <w:behaviors>
          <w:behavior w:val="content"/>
        </w:behaviors>
        <w:guid w:val="{908EC91A-863F-44FF-BB37-01EAF4A80991}"/>
      </w:docPartPr>
      <w:docPartBody>
        <w:p w:rsidR="00320F9E" w:rsidRDefault="00320F9E">
          <w:pPr>
            <w:pStyle w:val="5A5A8C2AC7F14295937F79E598D56509"/>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9E"/>
    <w:rsid w:val="00320F9E"/>
    <w:rsid w:val="003345E8"/>
    <w:rsid w:val="006D29F9"/>
    <w:rsid w:val="00B4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1FB29A575AD4EAC833C2E186DA2A3F3">
    <w:name w:val="C1FB29A575AD4EAC833C2E186DA2A3F3"/>
  </w:style>
  <w:style w:type="paragraph" w:customStyle="1" w:styleId="295B63EAE6184065B5EEE00523B83C85">
    <w:name w:val="295B63EAE6184065B5EEE00523B83C85"/>
  </w:style>
  <w:style w:type="paragraph" w:customStyle="1" w:styleId="5A5A8C2AC7F14295937F79E598D56509">
    <w:name w:val="5A5A8C2AC7F14295937F79E598D56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F7C1FA-30D3-45A9-BB8D-588B8A5877CC}"/>
</file>

<file path=customXml/itemProps2.xml><?xml version="1.0" encoding="utf-8"?>
<ds:datastoreItem xmlns:ds="http://schemas.openxmlformats.org/officeDocument/2006/customXml" ds:itemID="{38ED4EAB-6885-4A34-B15E-ED42D40DE83B}"/>
</file>

<file path=customXml/itemProps3.xml><?xml version="1.0" encoding="utf-8"?>
<ds:datastoreItem xmlns:ds="http://schemas.openxmlformats.org/officeDocument/2006/customXml" ds:itemID="{FF4024D6-FC66-45AC-B94F-33CC81E42A21}"/>
</file>

<file path=customXml/itemProps4.xml><?xml version="1.0" encoding="utf-8"?>
<ds:datastoreItem xmlns:ds="http://schemas.openxmlformats.org/officeDocument/2006/customXml" ds:itemID="{627283B4-D728-44BA-9B3F-AF695E6D3553}"/>
</file>

<file path=docProps/app.xml><?xml version="1.0" encoding="utf-8"?>
<Properties xmlns="http://schemas.openxmlformats.org/officeDocument/2006/extended-properties" xmlns:vt="http://schemas.openxmlformats.org/officeDocument/2006/docPropsVTypes">
  <Template>Benefits_Alert_2012_xx_Description_Text.dotx</Template>
  <TotalTime>4</TotalTime>
  <Pages>5</Pages>
  <Words>950</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Employee Contribution Surcharge</vt:lpstr>
    </vt:vector>
  </TitlesOfParts>
  <Company>Office of Administration</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Employee Contribution Surcharge</dc:title>
  <dc:subject>Information regarding the Employee Contribution Surcharge</dc:subject>
  <dc:creator>kreichertw</dc:creator>
  <cp:keywords>Description, Keywords, Operations, Benefits</cp:keywords>
  <dc:description/>
  <cp:lastModifiedBy>Carroll, Theresa (OA)</cp:lastModifiedBy>
  <cp:revision>3</cp:revision>
  <cp:lastPrinted>2016-12-30T14:28:00Z</cp:lastPrinted>
  <dcterms:created xsi:type="dcterms:W3CDTF">2016-12-30T14:27:00Z</dcterms:created>
  <dcterms:modified xsi:type="dcterms:W3CDTF">2016-12-30T14:32:00Z</dcterms:modified>
  <cp:category>Benefits Alert</cp:category>
  <cp:contentStatus>2016-05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37800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