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for </w:t>
      </w:r>
      <w:r w:rsidR="00AD5DAC">
        <w:rPr>
          <w:rFonts w:ascii="Verdana" w:hAnsi="Verdana" w:cs="Verdana"/>
          <w:b/>
          <w:bCs/>
          <w:i/>
          <w:iCs/>
          <w:sz w:val="20"/>
          <w:szCs w:val="20"/>
        </w:rPr>
        <w:t>transactions and benefit enrollments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1223FC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8426A773062147AD8D33B6EFD0BBB0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CC4763">
            <w:rPr>
              <w:rFonts w:ascii="Verdana" w:hAnsi="Verdana" w:cs="Verdana"/>
              <w:b/>
              <w:sz w:val="20"/>
              <w:szCs w:val="20"/>
            </w:rPr>
            <w:t xml:space="preserve">Implementation of </w:t>
          </w:r>
          <w:r w:rsidR="009040FD">
            <w:rPr>
              <w:rFonts w:ascii="Verdana" w:hAnsi="Verdana" w:cs="Verdana"/>
              <w:b/>
              <w:sz w:val="20"/>
              <w:szCs w:val="20"/>
            </w:rPr>
            <w:t>Great-West</w:t>
          </w:r>
          <w:r w:rsidR="00CC4763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9040FD">
            <w:rPr>
              <w:rFonts w:ascii="Verdana" w:hAnsi="Verdana" w:cs="Verdana"/>
              <w:b/>
              <w:sz w:val="20"/>
              <w:szCs w:val="20"/>
            </w:rPr>
            <w:t>I</w:t>
          </w:r>
          <w:r w:rsidR="00CC4763">
            <w:rPr>
              <w:rFonts w:ascii="Verdana" w:hAnsi="Verdana" w:cs="Verdana"/>
              <w:b/>
              <w:sz w:val="20"/>
              <w:szCs w:val="20"/>
            </w:rPr>
            <w:t xml:space="preserve">nterface file and </w:t>
          </w:r>
          <w:r w:rsidR="009040FD">
            <w:rPr>
              <w:rFonts w:ascii="Verdana" w:hAnsi="Verdana" w:cs="Verdana"/>
              <w:b/>
              <w:sz w:val="20"/>
              <w:szCs w:val="20"/>
            </w:rPr>
            <w:t>A</w:t>
          </w:r>
          <w:r w:rsidR="00175BF9">
            <w:rPr>
              <w:rFonts w:ascii="Verdana" w:hAnsi="Verdana" w:cs="Verdana"/>
              <w:b/>
              <w:sz w:val="20"/>
              <w:szCs w:val="20"/>
            </w:rPr>
            <w:t>vailability of</w:t>
          </w:r>
          <w:r w:rsidR="00CC4763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9040FD">
            <w:rPr>
              <w:rFonts w:ascii="Verdana" w:hAnsi="Verdana" w:cs="Verdana"/>
              <w:b/>
              <w:sz w:val="20"/>
              <w:szCs w:val="20"/>
            </w:rPr>
            <w:t>N</w:t>
          </w:r>
          <w:r w:rsidR="00CC4763">
            <w:rPr>
              <w:rFonts w:ascii="Verdana" w:hAnsi="Verdana" w:cs="Verdana"/>
              <w:b/>
              <w:sz w:val="20"/>
              <w:szCs w:val="20"/>
            </w:rPr>
            <w:t xml:space="preserve">ew Roth 457 </w:t>
          </w:r>
          <w:r w:rsidR="009040FD">
            <w:rPr>
              <w:rFonts w:ascii="Verdana" w:hAnsi="Verdana" w:cs="Verdana"/>
              <w:b/>
              <w:sz w:val="20"/>
              <w:szCs w:val="20"/>
            </w:rPr>
            <w:t>S</w:t>
          </w:r>
          <w:r w:rsidR="00CC4763">
            <w:rPr>
              <w:rFonts w:ascii="Verdana" w:hAnsi="Verdana" w:cs="Verdana"/>
              <w:b/>
              <w:sz w:val="20"/>
              <w:szCs w:val="20"/>
            </w:rPr>
            <w:t xml:space="preserve">avings </w:t>
          </w:r>
          <w:r w:rsidR="009040FD">
            <w:rPr>
              <w:rFonts w:ascii="Verdana" w:hAnsi="Verdana" w:cs="Verdana"/>
              <w:b/>
              <w:sz w:val="20"/>
              <w:szCs w:val="20"/>
            </w:rPr>
            <w:t>P</w:t>
          </w:r>
          <w:r w:rsidR="00CC4763">
            <w:rPr>
              <w:rFonts w:ascii="Verdana" w:hAnsi="Verdana" w:cs="Verdana"/>
              <w:b/>
              <w:sz w:val="20"/>
              <w:szCs w:val="20"/>
            </w:rPr>
            <w:t>lan</w:t>
          </w:r>
        </w:sdtContent>
      </w:sdt>
      <w:r w:rsidR="00377242" w:rsidRPr="00870071">
        <w:rPr>
          <w:rFonts w:ascii="Verdana" w:hAnsi="Verdana" w:cs="Verdana"/>
          <w:b/>
          <w:sz w:val="20"/>
          <w:szCs w:val="20"/>
        </w:rPr>
        <w:t> </w:t>
      </w:r>
    </w:p>
    <w:p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1223FC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FA69F9AE5E04418099414AEB6E7EB99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62C4D" w:rsidRPr="00870071">
            <w:rPr>
              <w:rFonts w:ascii="Verdana" w:hAnsi="Verdana" w:cs="Verdana"/>
              <w:sz w:val="20"/>
              <w:szCs w:val="20"/>
            </w:rPr>
            <w:t>Information regarding</w:t>
          </w:r>
          <w:r w:rsidR="00AD5DAC">
            <w:rPr>
              <w:rFonts w:ascii="Verdana" w:hAnsi="Verdana" w:cs="Verdana"/>
              <w:sz w:val="20"/>
              <w:szCs w:val="20"/>
            </w:rPr>
            <w:t xml:space="preserve"> the implementation of a </w:t>
          </w:r>
          <w:r w:rsidR="009040FD">
            <w:rPr>
              <w:rFonts w:ascii="Verdana" w:hAnsi="Verdana" w:cs="Verdana"/>
              <w:sz w:val="20"/>
              <w:szCs w:val="20"/>
            </w:rPr>
            <w:t>Great-West</w:t>
          </w:r>
          <w:r w:rsidR="00AD5DAC">
            <w:rPr>
              <w:rFonts w:ascii="Verdana" w:hAnsi="Verdana" w:cs="Verdana"/>
              <w:sz w:val="20"/>
              <w:szCs w:val="20"/>
            </w:rPr>
            <w:t xml:space="preserve"> interface file and the </w:t>
          </w:r>
          <w:r w:rsidR="009040FD">
            <w:rPr>
              <w:rFonts w:ascii="Verdana" w:hAnsi="Verdana" w:cs="Verdana"/>
              <w:sz w:val="20"/>
              <w:szCs w:val="20"/>
            </w:rPr>
            <w:t>addition of a new Roth 457 plan</w:t>
          </w:r>
        </w:sdtContent>
      </w:sdt>
    </w:p>
    <w:p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9040FD" w:rsidRPr="009C1B31" w:rsidRDefault="009040FD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984576" w:rsidRDefault="004463A2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644305">
        <w:rPr>
          <w:rFonts w:ascii="Verdana" w:hAnsi="Verdana" w:cs="Verdana"/>
          <w:sz w:val="20"/>
          <w:szCs w:val="20"/>
        </w:rPr>
        <w:t>August</w:t>
      </w:r>
      <w:r>
        <w:rPr>
          <w:rFonts w:ascii="Verdana" w:hAnsi="Verdana" w:cs="Verdana"/>
          <w:sz w:val="20"/>
          <w:szCs w:val="20"/>
        </w:rPr>
        <w:t xml:space="preserve"> 1, 2012, </w:t>
      </w:r>
      <w:r w:rsidR="00984576">
        <w:rPr>
          <w:rFonts w:ascii="Verdana" w:hAnsi="Verdana" w:cs="Verdana"/>
          <w:sz w:val="20"/>
          <w:szCs w:val="20"/>
        </w:rPr>
        <w:t>the following changes will occur with the deferred compensation program:</w:t>
      </w:r>
    </w:p>
    <w:p w:rsidR="00984576" w:rsidRDefault="00984576" w:rsidP="00E56507">
      <w:pPr>
        <w:rPr>
          <w:rFonts w:ascii="Verdana" w:hAnsi="Verdana" w:cs="Verdana"/>
          <w:sz w:val="20"/>
          <w:szCs w:val="20"/>
        </w:rPr>
      </w:pPr>
    </w:p>
    <w:p w:rsidR="00984576" w:rsidRDefault="00984576" w:rsidP="00984576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new Roth 457 savings plan will be available</w:t>
      </w:r>
    </w:p>
    <w:p w:rsidR="00984576" w:rsidRDefault="00984576" w:rsidP="00984576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121B0B" w:rsidRPr="00984576">
        <w:rPr>
          <w:rFonts w:ascii="Verdana" w:hAnsi="Verdana" w:cs="Verdana"/>
          <w:sz w:val="20"/>
          <w:szCs w:val="20"/>
        </w:rPr>
        <w:t xml:space="preserve">mployees can utilize </w:t>
      </w:r>
      <w:r w:rsidR="009040FD">
        <w:rPr>
          <w:rFonts w:ascii="Verdana" w:hAnsi="Verdana" w:cs="Verdana"/>
          <w:sz w:val="20"/>
          <w:szCs w:val="20"/>
        </w:rPr>
        <w:t>Great-West</w:t>
      </w:r>
      <w:r w:rsidR="00121B0B" w:rsidRPr="00984576">
        <w:rPr>
          <w:rFonts w:ascii="Verdana" w:hAnsi="Verdana" w:cs="Verdana"/>
          <w:sz w:val="20"/>
          <w:szCs w:val="20"/>
        </w:rPr>
        <w:t xml:space="preserve">’s </w:t>
      </w:r>
      <w:r>
        <w:rPr>
          <w:rFonts w:ascii="Verdana" w:hAnsi="Verdana" w:cs="Verdana"/>
          <w:sz w:val="20"/>
          <w:szCs w:val="20"/>
        </w:rPr>
        <w:t xml:space="preserve">website account management tools, </w:t>
      </w:r>
      <w:r w:rsidR="00121B0B" w:rsidRPr="00984576">
        <w:rPr>
          <w:rFonts w:ascii="Verdana" w:hAnsi="Verdana" w:cs="Verdana"/>
          <w:sz w:val="20"/>
          <w:szCs w:val="20"/>
        </w:rPr>
        <w:t xml:space="preserve">automated voice response system or customer service call center to make </w:t>
      </w:r>
      <w:r w:rsidR="009040FD">
        <w:rPr>
          <w:rFonts w:ascii="Verdana" w:hAnsi="Verdana" w:cs="Verdana"/>
          <w:sz w:val="20"/>
          <w:szCs w:val="20"/>
        </w:rPr>
        <w:t xml:space="preserve">changes to their </w:t>
      </w:r>
      <w:r w:rsidR="00121B0B" w:rsidRPr="00984576">
        <w:rPr>
          <w:rFonts w:ascii="Verdana" w:hAnsi="Verdana" w:cs="Verdana"/>
          <w:sz w:val="20"/>
          <w:szCs w:val="20"/>
        </w:rPr>
        <w:t xml:space="preserve">deferred compensation </w:t>
      </w:r>
      <w:r w:rsidR="009040FD">
        <w:rPr>
          <w:rFonts w:ascii="Verdana" w:hAnsi="Verdana" w:cs="Verdana"/>
          <w:sz w:val="20"/>
          <w:szCs w:val="20"/>
        </w:rPr>
        <w:t>deductions</w:t>
      </w:r>
      <w:r w:rsidR="00121B0B" w:rsidRPr="00984576">
        <w:rPr>
          <w:rFonts w:ascii="Verdana" w:hAnsi="Verdana" w:cs="Verdana"/>
          <w:sz w:val="20"/>
          <w:szCs w:val="20"/>
        </w:rPr>
        <w:t xml:space="preserve">.  </w:t>
      </w:r>
      <w:r>
        <w:rPr>
          <w:rFonts w:ascii="Verdana" w:hAnsi="Verdana" w:cs="Verdana"/>
          <w:sz w:val="20"/>
          <w:szCs w:val="20"/>
        </w:rPr>
        <w:t xml:space="preserve">Employees are still required to meet with a </w:t>
      </w:r>
      <w:r w:rsidR="009040FD">
        <w:rPr>
          <w:rFonts w:ascii="Verdana" w:hAnsi="Verdana" w:cs="Verdana"/>
          <w:sz w:val="20"/>
          <w:szCs w:val="20"/>
        </w:rPr>
        <w:t>Great-West</w:t>
      </w:r>
      <w:r>
        <w:rPr>
          <w:rFonts w:ascii="Verdana" w:hAnsi="Verdana" w:cs="Verdana"/>
          <w:sz w:val="20"/>
          <w:szCs w:val="20"/>
        </w:rPr>
        <w:t xml:space="preserve"> Representative to enroll in the program.</w:t>
      </w:r>
    </w:p>
    <w:p w:rsidR="004463A2" w:rsidRPr="00984576" w:rsidRDefault="009040FD" w:rsidP="00984576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Great-West</w:t>
      </w:r>
      <w:r w:rsidR="00984576" w:rsidRPr="00984576">
        <w:rPr>
          <w:rFonts w:ascii="Verdana" w:hAnsi="Verdana" w:cs="Verdana"/>
          <w:sz w:val="20"/>
          <w:szCs w:val="20"/>
        </w:rPr>
        <w:t xml:space="preserve"> w</w:t>
      </w:r>
      <w:r w:rsidR="004463A2" w:rsidRPr="00984576">
        <w:rPr>
          <w:rFonts w:ascii="Verdana" w:hAnsi="Verdana" w:cs="Verdana"/>
          <w:sz w:val="20"/>
          <w:szCs w:val="20"/>
        </w:rPr>
        <w:t xml:space="preserve">ill implement </w:t>
      </w:r>
      <w:r w:rsidR="000D1051" w:rsidRPr="00984576">
        <w:rPr>
          <w:rFonts w:ascii="Verdana" w:hAnsi="Verdana" w:cs="Verdana"/>
          <w:sz w:val="20"/>
          <w:szCs w:val="20"/>
        </w:rPr>
        <w:t xml:space="preserve">a weekly </w:t>
      </w:r>
      <w:r w:rsidR="00C709B4" w:rsidRPr="00984576">
        <w:rPr>
          <w:rFonts w:ascii="Verdana" w:hAnsi="Verdana" w:cs="Verdana"/>
          <w:sz w:val="20"/>
          <w:szCs w:val="20"/>
        </w:rPr>
        <w:t xml:space="preserve">inbound </w:t>
      </w:r>
      <w:r w:rsidR="000D1051" w:rsidRPr="00984576">
        <w:rPr>
          <w:rFonts w:ascii="Verdana" w:hAnsi="Verdana" w:cs="Verdana"/>
          <w:sz w:val="20"/>
          <w:szCs w:val="20"/>
        </w:rPr>
        <w:t xml:space="preserve">interface file </w:t>
      </w:r>
      <w:r w:rsidR="00984576">
        <w:rPr>
          <w:rFonts w:ascii="Verdana" w:hAnsi="Verdana" w:cs="Verdana"/>
          <w:sz w:val="20"/>
          <w:szCs w:val="20"/>
        </w:rPr>
        <w:t>with</w:t>
      </w:r>
      <w:r>
        <w:rPr>
          <w:rFonts w:ascii="Verdana" w:hAnsi="Verdana" w:cs="Verdana"/>
          <w:sz w:val="20"/>
          <w:szCs w:val="20"/>
        </w:rPr>
        <w:t xml:space="preserve"> the c</w:t>
      </w:r>
      <w:r w:rsidR="00984576" w:rsidRPr="00984576">
        <w:rPr>
          <w:rFonts w:ascii="Verdana" w:hAnsi="Verdana" w:cs="Verdana"/>
          <w:sz w:val="20"/>
          <w:szCs w:val="20"/>
        </w:rPr>
        <w:t xml:space="preserve">ommonwealth for the creation of and changes to employee deferred compensation and/or Roth deductions.  This will eliminate the need for manual processing.  </w:t>
      </w:r>
      <w:r w:rsidRPr="009040FD">
        <w:rPr>
          <w:rFonts w:ascii="Verdana" w:hAnsi="Verdana" w:cs="Verdana"/>
          <w:b/>
          <w:sz w:val="20"/>
          <w:szCs w:val="20"/>
        </w:rPr>
        <w:t>Exception:</w:t>
      </w:r>
      <w:r>
        <w:rPr>
          <w:rFonts w:ascii="Verdana" w:hAnsi="Verdana" w:cs="Verdana"/>
          <w:sz w:val="20"/>
          <w:szCs w:val="20"/>
        </w:rPr>
        <w:t xml:space="preserve"> R</w:t>
      </w:r>
      <w:r w:rsidR="00C709B4" w:rsidRPr="00984576">
        <w:rPr>
          <w:rFonts w:ascii="Verdana" w:hAnsi="Verdana" w:cs="Verdana"/>
          <w:sz w:val="20"/>
          <w:szCs w:val="20"/>
        </w:rPr>
        <w:t xml:space="preserve">equests for </w:t>
      </w:r>
      <w:r w:rsidR="00984576">
        <w:rPr>
          <w:rFonts w:ascii="Verdana" w:hAnsi="Verdana" w:cs="Verdana"/>
          <w:sz w:val="20"/>
          <w:szCs w:val="20"/>
        </w:rPr>
        <w:t>a</w:t>
      </w:r>
      <w:r w:rsidR="00C709B4" w:rsidRPr="00984576">
        <w:rPr>
          <w:rFonts w:ascii="Verdana" w:hAnsi="Verdana" w:cs="Verdana"/>
          <w:sz w:val="20"/>
          <w:szCs w:val="20"/>
        </w:rPr>
        <w:t xml:space="preserve"> leave rollover into deferred compensation/Roth</w:t>
      </w:r>
      <w:r>
        <w:rPr>
          <w:rFonts w:ascii="Verdana" w:hAnsi="Verdana" w:cs="Verdana"/>
          <w:sz w:val="20"/>
          <w:szCs w:val="20"/>
        </w:rPr>
        <w:t xml:space="preserve"> will not be sent in the interface file</w:t>
      </w:r>
      <w:r w:rsidR="00C709B4" w:rsidRPr="00984576">
        <w:rPr>
          <w:rFonts w:ascii="Verdana" w:hAnsi="Verdana" w:cs="Verdana"/>
          <w:sz w:val="20"/>
          <w:szCs w:val="20"/>
        </w:rPr>
        <w:t xml:space="preserve">.  </w:t>
      </w:r>
      <w:r>
        <w:rPr>
          <w:rFonts w:ascii="Verdana" w:hAnsi="Verdana" w:cs="Verdana"/>
          <w:sz w:val="20"/>
          <w:szCs w:val="20"/>
        </w:rPr>
        <w:t>Great-West</w:t>
      </w:r>
      <w:r w:rsidR="00FE1B58" w:rsidRPr="00984576">
        <w:rPr>
          <w:rFonts w:ascii="Verdana" w:hAnsi="Verdana" w:cs="Verdana"/>
          <w:sz w:val="20"/>
          <w:szCs w:val="20"/>
        </w:rPr>
        <w:t xml:space="preserve"> will continue to send rollover forms</w:t>
      </w:r>
      <w:r w:rsidR="00984576">
        <w:rPr>
          <w:rFonts w:ascii="Verdana" w:hAnsi="Verdana" w:cs="Verdana"/>
          <w:sz w:val="20"/>
          <w:szCs w:val="20"/>
        </w:rPr>
        <w:t xml:space="preserve"> for manual processing</w:t>
      </w:r>
      <w:r w:rsidR="00FE1B58" w:rsidRPr="00984576">
        <w:rPr>
          <w:rFonts w:ascii="Verdana" w:hAnsi="Verdana" w:cs="Verdana"/>
          <w:sz w:val="20"/>
          <w:szCs w:val="20"/>
        </w:rPr>
        <w:t xml:space="preserve"> to the HR</w:t>
      </w:r>
      <w:r>
        <w:rPr>
          <w:rFonts w:ascii="Verdana" w:hAnsi="Verdana" w:cs="Verdana"/>
          <w:sz w:val="20"/>
          <w:szCs w:val="20"/>
        </w:rPr>
        <w:t xml:space="preserve"> </w:t>
      </w:r>
      <w:r w:rsidR="00FE1B58" w:rsidRPr="00984576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ervice </w:t>
      </w:r>
      <w:r w:rsidR="00FE1B58" w:rsidRPr="00984576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enter</w:t>
      </w:r>
      <w:r w:rsidR="00FE1B58" w:rsidRPr="00984576">
        <w:rPr>
          <w:rFonts w:ascii="Verdana" w:hAnsi="Verdana" w:cs="Verdana"/>
          <w:sz w:val="20"/>
          <w:szCs w:val="20"/>
        </w:rPr>
        <w:t xml:space="preserve"> or agencies not supported by the </w:t>
      </w:r>
      <w:r w:rsidRPr="00984576">
        <w:rPr>
          <w:rFonts w:ascii="Verdana" w:hAnsi="Verdana" w:cs="Verdana"/>
          <w:sz w:val="20"/>
          <w:szCs w:val="20"/>
        </w:rPr>
        <w:t>HR</w:t>
      </w:r>
      <w:r>
        <w:rPr>
          <w:rFonts w:ascii="Verdana" w:hAnsi="Verdana" w:cs="Verdana"/>
          <w:sz w:val="20"/>
          <w:szCs w:val="20"/>
        </w:rPr>
        <w:t xml:space="preserve"> </w:t>
      </w:r>
      <w:r w:rsidRPr="00984576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ervice </w:t>
      </w:r>
      <w:r w:rsidRPr="00984576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enter</w:t>
      </w:r>
      <w:r w:rsidR="00FE1B58" w:rsidRPr="00984576">
        <w:rPr>
          <w:rFonts w:ascii="Verdana" w:hAnsi="Verdana" w:cs="Verdana"/>
          <w:sz w:val="20"/>
          <w:szCs w:val="20"/>
        </w:rPr>
        <w:t>.</w:t>
      </w:r>
    </w:p>
    <w:p w:rsidR="008334F8" w:rsidRDefault="008334F8" w:rsidP="00E56507">
      <w:pPr>
        <w:rPr>
          <w:rFonts w:ascii="Verdana" w:hAnsi="Verdana" w:cs="Verdana"/>
          <w:sz w:val="20"/>
          <w:szCs w:val="20"/>
        </w:rPr>
      </w:pPr>
    </w:p>
    <w:p w:rsidR="008334F8" w:rsidRDefault="008334F8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implementation timeline is as follows:</w:t>
      </w:r>
    </w:p>
    <w:p w:rsidR="008334F8" w:rsidRDefault="008334F8" w:rsidP="00E56507">
      <w:pPr>
        <w:rPr>
          <w:rFonts w:ascii="Verdana" w:hAnsi="Verdana" w:cs="Verdana"/>
          <w:sz w:val="20"/>
          <w:szCs w:val="20"/>
        </w:rPr>
      </w:pPr>
    </w:p>
    <w:p w:rsidR="008334F8" w:rsidRDefault="008334F8" w:rsidP="00DC389B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3911C3">
        <w:rPr>
          <w:rFonts w:ascii="Verdana" w:hAnsi="Verdana"/>
          <w:b/>
          <w:sz w:val="20"/>
          <w:szCs w:val="20"/>
        </w:rPr>
        <w:t>July 20</w:t>
      </w:r>
      <w:r>
        <w:rPr>
          <w:rFonts w:ascii="Verdana" w:hAnsi="Verdana"/>
          <w:sz w:val="20"/>
          <w:szCs w:val="20"/>
        </w:rPr>
        <w:t xml:space="preserve"> – Last day for </w:t>
      </w:r>
      <w:r w:rsidR="009040FD">
        <w:rPr>
          <w:rFonts w:ascii="Verdana" w:hAnsi="Verdana"/>
          <w:sz w:val="20"/>
          <w:szCs w:val="20"/>
        </w:rPr>
        <w:t>Great-West</w:t>
      </w:r>
      <w:r w:rsidR="003911C3">
        <w:rPr>
          <w:rFonts w:ascii="Verdana" w:hAnsi="Verdana"/>
          <w:sz w:val="20"/>
          <w:szCs w:val="20"/>
        </w:rPr>
        <w:t xml:space="preserve"> to submit bi-weekly deduction forms to the </w:t>
      </w:r>
      <w:r w:rsidR="009040FD" w:rsidRPr="00984576">
        <w:rPr>
          <w:rFonts w:ascii="Verdana" w:hAnsi="Verdana" w:cs="Verdana"/>
          <w:sz w:val="20"/>
          <w:szCs w:val="20"/>
        </w:rPr>
        <w:t>HR</w:t>
      </w:r>
      <w:r w:rsidR="009040FD">
        <w:rPr>
          <w:rFonts w:ascii="Verdana" w:hAnsi="Verdana" w:cs="Verdana"/>
          <w:sz w:val="20"/>
          <w:szCs w:val="20"/>
        </w:rPr>
        <w:t xml:space="preserve"> </w:t>
      </w:r>
      <w:r w:rsidR="009040FD" w:rsidRPr="00984576">
        <w:rPr>
          <w:rFonts w:ascii="Verdana" w:hAnsi="Verdana" w:cs="Verdana"/>
          <w:sz w:val="20"/>
          <w:szCs w:val="20"/>
        </w:rPr>
        <w:t>S</w:t>
      </w:r>
      <w:r w:rsidR="009040FD">
        <w:rPr>
          <w:rFonts w:ascii="Verdana" w:hAnsi="Verdana" w:cs="Verdana"/>
          <w:sz w:val="20"/>
          <w:szCs w:val="20"/>
        </w:rPr>
        <w:t xml:space="preserve">ervice </w:t>
      </w:r>
      <w:r w:rsidR="009040FD" w:rsidRPr="00984576">
        <w:rPr>
          <w:rFonts w:ascii="Verdana" w:hAnsi="Verdana" w:cs="Verdana"/>
          <w:sz w:val="20"/>
          <w:szCs w:val="20"/>
        </w:rPr>
        <w:t>C</w:t>
      </w:r>
      <w:r w:rsidR="009040FD">
        <w:rPr>
          <w:rFonts w:ascii="Verdana" w:hAnsi="Verdana" w:cs="Verdana"/>
          <w:sz w:val="20"/>
          <w:szCs w:val="20"/>
        </w:rPr>
        <w:t>enter</w:t>
      </w:r>
      <w:r w:rsidR="003911C3">
        <w:rPr>
          <w:rFonts w:ascii="Verdana" w:hAnsi="Verdana"/>
          <w:sz w:val="20"/>
          <w:szCs w:val="20"/>
        </w:rPr>
        <w:t>/H</w:t>
      </w:r>
      <w:r w:rsidR="009040FD">
        <w:rPr>
          <w:rFonts w:ascii="Verdana" w:hAnsi="Verdana"/>
          <w:sz w:val="20"/>
          <w:szCs w:val="20"/>
        </w:rPr>
        <w:t>R Office for manual processing</w:t>
      </w:r>
      <w:r w:rsidR="003911C3">
        <w:rPr>
          <w:rFonts w:ascii="Verdana" w:hAnsi="Verdana"/>
          <w:sz w:val="20"/>
          <w:szCs w:val="20"/>
        </w:rPr>
        <w:t xml:space="preserve">   </w:t>
      </w:r>
    </w:p>
    <w:p w:rsidR="00AD7D80" w:rsidRDefault="00AD7D80" w:rsidP="00DC389B">
      <w:pPr>
        <w:pStyle w:val="ListParagraph"/>
        <w:numPr>
          <w:ilvl w:val="0"/>
          <w:numId w:val="43"/>
        </w:numPr>
        <w:tabs>
          <w:tab w:val="left" w:pos="14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forms are received after July 20</w:t>
      </w:r>
      <w:r w:rsidRPr="003911C3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, return them via fax to </w:t>
      </w:r>
      <w:r w:rsidR="009040FD">
        <w:rPr>
          <w:rFonts w:ascii="Verdana" w:hAnsi="Verdana"/>
          <w:sz w:val="20"/>
          <w:szCs w:val="20"/>
        </w:rPr>
        <w:t>Great-West</w:t>
      </w:r>
      <w:r>
        <w:rPr>
          <w:rFonts w:ascii="Verdana" w:hAnsi="Verdana"/>
          <w:sz w:val="20"/>
          <w:szCs w:val="20"/>
        </w:rPr>
        <w:t xml:space="preserve"> at </w:t>
      </w:r>
    </w:p>
    <w:p w:rsidR="00AD7D80" w:rsidRDefault="00AD7D80" w:rsidP="00DC389B">
      <w:pPr>
        <w:pStyle w:val="ListParagraph"/>
        <w:tabs>
          <w:tab w:val="left" w:pos="1440"/>
        </w:tabs>
        <w:rPr>
          <w:rFonts w:ascii="Verdana" w:hAnsi="Verdana"/>
          <w:sz w:val="20"/>
          <w:szCs w:val="20"/>
        </w:rPr>
      </w:pPr>
      <w:r w:rsidRPr="003911C3">
        <w:rPr>
          <w:rFonts w:ascii="Verdana" w:hAnsi="Verdana"/>
          <w:sz w:val="20"/>
          <w:szCs w:val="20"/>
        </w:rPr>
        <w:t>1-717-901-3620</w:t>
      </w:r>
    </w:p>
    <w:p w:rsidR="00AD7D80" w:rsidRPr="00AD7D80" w:rsidRDefault="009040FD" w:rsidP="00DC389B">
      <w:pPr>
        <w:pStyle w:val="ListParagraph"/>
        <w:numPr>
          <w:ilvl w:val="0"/>
          <w:numId w:val="43"/>
        </w:numPr>
        <w:tabs>
          <w:tab w:val="left" w:pos="14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Great-West</w:t>
      </w:r>
      <w:r w:rsidR="00AD7D80" w:rsidRPr="00AD7D80">
        <w:rPr>
          <w:rFonts w:ascii="Verdana" w:hAnsi="Verdana"/>
          <w:sz w:val="20"/>
          <w:szCs w:val="20"/>
        </w:rPr>
        <w:t xml:space="preserve"> will continue to submit requests for leave </w:t>
      </w:r>
      <w:r>
        <w:rPr>
          <w:rFonts w:ascii="Verdana" w:hAnsi="Verdana"/>
          <w:sz w:val="20"/>
          <w:szCs w:val="20"/>
        </w:rPr>
        <w:t>rollovers for manual processing</w:t>
      </w:r>
    </w:p>
    <w:p w:rsidR="008334F8" w:rsidRDefault="008334F8" w:rsidP="00DC389B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3911C3">
        <w:rPr>
          <w:rFonts w:ascii="Verdana" w:hAnsi="Verdana"/>
          <w:b/>
          <w:sz w:val="20"/>
          <w:szCs w:val="20"/>
        </w:rPr>
        <w:t>July 23-24</w:t>
      </w:r>
      <w:r>
        <w:rPr>
          <w:rFonts w:ascii="Verdana" w:hAnsi="Verdana"/>
          <w:sz w:val="20"/>
          <w:szCs w:val="20"/>
        </w:rPr>
        <w:t xml:space="preserve"> – </w:t>
      </w:r>
      <w:r w:rsidR="003911C3">
        <w:rPr>
          <w:rFonts w:ascii="Verdana" w:hAnsi="Verdana"/>
          <w:sz w:val="20"/>
          <w:szCs w:val="20"/>
        </w:rPr>
        <w:t xml:space="preserve">All forms received through July 20 </w:t>
      </w:r>
      <w:r>
        <w:rPr>
          <w:rFonts w:ascii="Verdana" w:hAnsi="Verdana"/>
          <w:sz w:val="20"/>
          <w:szCs w:val="20"/>
        </w:rPr>
        <w:t xml:space="preserve">must be input by </w:t>
      </w:r>
      <w:r w:rsidR="009040FD" w:rsidRPr="00984576">
        <w:rPr>
          <w:rFonts w:ascii="Verdana" w:hAnsi="Verdana" w:cs="Verdana"/>
          <w:sz w:val="20"/>
          <w:szCs w:val="20"/>
        </w:rPr>
        <w:t>HR</w:t>
      </w:r>
      <w:r w:rsidR="009040FD">
        <w:rPr>
          <w:rFonts w:ascii="Verdana" w:hAnsi="Verdana" w:cs="Verdana"/>
          <w:sz w:val="20"/>
          <w:szCs w:val="20"/>
        </w:rPr>
        <w:t xml:space="preserve"> </w:t>
      </w:r>
      <w:r w:rsidR="009040FD" w:rsidRPr="00984576">
        <w:rPr>
          <w:rFonts w:ascii="Verdana" w:hAnsi="Verdana" w:cs="Verdana"/>
          <w:sz w:val="20"/>
          <w:szCs w:val="20"/>
        </w:rPr>
        <w:t>S</w:t>
      </w:r>
      <w:r w:rsidR="009040FD">
        <w:rPr>
          <w:rFonts w:ascii="Verdana" w:hAnsi="Verdana" w:cs="Verdana"/>
          <w:sz w:val="20"/>
          <w:szCs w:val="20"/>
        </w:rPr>
        <w:t xml:space="preserve">ervice </w:t>
      </w:r>
      <w:r w:rsidR="009040FD" w:rsidRPr="00984576">
        <w:rPr>
          <w:rFonts w:ascii="Verdana" w:hAnsi="Verdana" w:cs="Verdana"/>
          <w:sz w:val="20"/>
          <w:szCs w:val="20"/>
        </w:rPr>
        <w:t>C</w:t>
      </w:r>
      <w:r w:rsidR="009040FD">
        <w:rPr>
          <w:rFonts w:ascii="Verdana" w:hAnsi="Verdana" w:cs="Verdana"/>
          <w:sz w:val="20"/>
          <w:szCs w:val="20"/>
        </w:rPr>
        <w:t>enter</w:t>
      </w:r>
      <w:r>
        <w:rPr>
          <w:rFonts w:ascii="Verdana" w:hAnsi="Verdana"/>
          <w:sz w:val="20"/>
          <w:szCs w:val="20"/>
        </w:rPr>
        <w:t>/HR Office</w:t>
      </w:r>
    </w:p>
    <w:p w:rsidR="008334F8" w:rsidRDefault="008334F8" w:rsidP="00DC389B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3911C3">
        <w:rPr>
          <w:rFonts w:ascii="Verdana" w:hAnsi="Verdana"/>
          <w:b/>
          <w:sz w:val="20"/>
          <w:szCs w:val="20"/>
        </w:rPr>
        <w:t>July 25</w:t>
      </w:r>
      <w:r>
        <w:rPr>
          <w:rFonts w:ascii="Verdana" w:hAnsi="Verdana"/>
          <w:sz w:val="20"/>
          <w:szCs w:val="20"/>
        </w:rPr>
        <w:t xml:space="preserve"> – Conversion of </w:t>
      </w:r>
      <w:r w:rsidR="00B636E4">
        <w:rPr>
          <w:rFonts w:ascii="Verdana" w:hAnsi="Verdana"/>
          <w:sz w:val="20"/>
          <w:szCs w:val="20"/>
        </w:rPr>
        <w:t xml:space="preserve">all current deferred compensation enrollments in </w:t>
      </w:r>
      <w:r>
        <w:rPr>
          <w:rFonts w:ascii="Verdana" w:hAnsi="Verdana"/>
          <w:sz w:val="20"/>
          <w:szCs w:val="20"/>
        </w:rPr>
        <w:t xml:space="preserve">SAP </w:t>
      </w:r>
      <w:r w:rsidR="00984576">
        <w:rPr>
          <w:rFonts w:ascii="Verdana" w:hAnsi="Verdana"/>
          <w:sz w:val="20"/>
          <w:szCs w:val="20"/>
        </w:rPr>
        <w:t xml:space="preserve">to the new deferred compensation plan </w:t>
      </w:r>
      <w:r>
        <w:rPr>
          <w:rFonts w:ascii="Verdana" w:hAnsi="Verdana"/>
          <w:sz w:val="20"/>
          <w:szCs w:val="20"/>
        </w:rPr>
        <w:t>with an effective date of August 1, 2012</w:t>
      </w:r>
    </w:p>
    <w:p w:rsidR="008334F8" w:rsidRDefault="008334F8" w:rsidP="00DC389B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3911C3">
        <w:rPr>
          <w:rFonts w:ascii="Verdana" w:hAnsi="Verdana"/>
          <w:b/>
          <w:sz w:val="20"/>
          <w:szCs w:val="20"/>
        </w:rPr>
        <w:t>August 1</w:t>
      </w:r>
      <w:r>
        <w:rPr>
          <w:rFonts w:ascii="Verdana" w:hAnsi="Verdana"/>
          <w:sz w:val="20"/>
          <w:szCs w:val="20"/>
        </w:rPr>
        <w:t xml:space="preserve"> – </w:t>
      </w:r>
      <w:r w:rsidR="009040FD">
        <w:rPr>
          <w:rFonts w:ascii="Verdana" w:hAnsi="Verdana"/>
          <w:sz w:val="20"/>
          <w:szCs w:val="20"/>
        </w:rPr>
        <w:t>Great-West on</w:t>
      </w:r>
      <w:r>
        <w:rPr>
          <w:rFonts w:ascii="Verdana" w:hAnsi="Verdana"/>
          <w:sz w:val="20"/>
          <w:szCs w:val="20"/>
        </w:rPr>
        <w:t xml:space="preserve">line system </w:t>
      </w:r>
      <w:r w:rsidR="000C605B">
        <w:rPr>
          <w:rFonts w:ascii="Verdana" w:hAnsi="Verdana"/>
          <w:sz w:val="20"/>
          <w:szCs w:val="20"/>
        </w:rPr>
        <w:t xml:space="preserve">and new Roth 457 plan </w:t>
      </w:r>
      <w:r>
        <w:rPr>
          <w:rFonts w:ascii="Verdana" w:hAnsi="Verdana"/>
          <w:sz w:val="20"/>
          <w:szCs w:val="20"/>
        </w:rPr>
        <w:t xml:space="preserve">will be available </w:t>
      </w:r>
      <w:r w:rsidR="000C605B">
        <w:rPr>
          <w:rFonts w:ascii="Verdana" w:hAnsi="Verdana"/>
          <w:sz w:val="20"/>
          <w:szCs w:val="20"/>
        </w:rPr>
        <w:t xml:space="preserve">to </w:t>
      </w:r>
      <w:r>
        <w:rPr>
          <w:rFonts w:ascii="Verdana" w:hAnsi="Verdana"/>
          <w:sz w:val="20"/>
          <w:szCs w:val="20"/>
        </w:rPr>
        <w:t>employees</w:t>
      </w:r>
    </w:p>
    <w:p w:rsidR="008334F8" w:rsidRDefault="008334F8" w:rsidP="00DC389B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3911C3">
        <w:rPr>
          <w:rFonts w:ascii="Verdana" w:hAnsi="Verdana"/>
          <w:b/>
          <w:sz w:val="20"/>
          <w:szCs w:val="20"/>
        </w:rPr>
        <w:t>August 2</w:t>
      </w:r>
      <w:r>
        <w:rPr>
          <w:rFonts w:ascii="Verdana" w:hAnsi="Verdana"/>
          <w:sz w:val="20"/>
          <w:szCs w:val="20"/>
        </w:rPr>
        <w:t xml:space="preserve"> – First inbound production file</w:t>
      </w:r>
      <w:r w:rsidR="009E04D6">
        <w:rPr>
          <w:rFonts w:ascii="Verdana" w:hAnsi="Verdana"/>
          <w:sz w:val="20"/>
          <w:szCs w:val="20"/>
        </w:rPr>
        <w:t xml:space="preserve"> received from </w:t>
      </w:r>
      <w:r w:rsidR="009040FD">
        <w:rPr>
          <w:rFonts w:ascii="Verdana" w:hAnsi="Verdana"/>
          <w:sz w:val="20"/>
          <w:szCs w:val="20"/>
        </w:rPr>
        <w:t>Great-West</w:t>
      </w:r>
    </w:p>
    <w:p w:rsidR="008334F8" w:rsidRDefault="008334F8" w:rsidP="008334F8">
      <w:pPr>
        <w:rPr>
          <w:rFonts w:ascii="Verdana" w:hAnsi="Verdana"/>
          <w:sz w:val="20"/>
          <w:szCs w:val="20"/>
        </w:rPr>
      </w:pPr>
    </w:p>
    <w:p w:rsidR="00743256" w:rsidRDefault="00743256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change will apply to all agencies serviced by the HR Service Center in addition to:  </w:t>
      </w:r>
      <w:r w:rsidR="00DC674E">
        <w:rPr>
          <w:rFonts w:ascii="Verdana" w:hAnsi="Verdana" w:cs="Verdana"/>
          <w:sz w:val="20"/>
          <w:szCs w:val="20"/>
        </w:rPr>
        <w:t>Liquor Control Board,</w:t>
      </w:r>
      <w:r>
        <w:rPr>
          <w:rFonts w:ascii="Verdana" w:hAnsi="Verdana" w:cs="Verdana"/>
          <w:sz w:val="20"/>
          <w:szCs w:val="20"/>
        </w:rPr>
        <w:t xml:space="preserve"> Attorney General, </w:t>
      </w:r>
      <w:r w:rsidR="00DC674E">
        <w:rPr>
          <w:rFonts w:ascii="Verdana" w:hAnsi="Verdana" w:cs="Verdana"/>
          <w:sz w:val="20"/>
          <w:szCs w:val="20"/>
        </w:rPr>
        <w:t>Pennsylvania Utilities Commission,</w:t>
      </w:r>
      <w:r>
        <w:rPr>
          <w:rFonts w:ascii="Verdana" w:hAnsi="Verdana" w:cs="Verdana"/>
          <w:sz w:val="20"/>
          <w:szCs w:val="20"/>
        </w:rPr>
        <w:t xml:space="preserve"> Gaming Control Board, Port Authorities and Health Care Cost Containment Council</w:t>
      </w:r>
      <w:r w:rsidR="00DC674E">
        <w:rPr>
          <w:rFonts w:ascii="Verdana" w:hAnsi="Verdana" w:cs="Verdana"/>
          <w:sz w:val="20"/>
          <w:szCs w:val="20"/>
        </w:rPr>
        <w:t>.</w:t>
      </w:r>
    </w:p>
    <w:p w:rsidR="00FE1B58" w:rsidRDefault="00FE1B58" w:rsidP="00E56507">
      <w:pPr>
        <w:rPr>
          <w:rFonts w:ascii="Verdana" w:hAnsi="Verdana" w:cs="Verdana"/>
          <w:sz w:val="20"/>
          <w:szCs w:val="20"/>
        </w:rPr>
      </w:pPr>
    </w:p>
    <w:p w:rsidR="00FE1B58" w:rsidRDefault="00644305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Highlights</w:t>
      </w:r>
      <w:r w:rsidR="00984576">
        <w:rPr>
          <w:rFonts w:ascii="Verdana" w:hAnsi="Verdana" w:cs="Verdana"/>
          <w:sz w:val="20"/>
          <w:szCs w:val="20"/>
        </w:rPr>
        <w:t xml:space="preserve"> </w:t>
      </w:r>
      <w:r w:rsidR="00FE1B58">
        <w:rPr>
          <w:rFonts w:ascii="Verdana" w:hAnsi="Verdana" w:cs="Verdana"/>
          <w:sz w:val="20"/>
          <w:szCs w:val="20"/>
        </w:rPr>
        <w:t>of the Roth 457 plan are:</w:t>
      </w:r>
    </w:p>
    <w:p w:rsidR="00FE1B58" w:rsidRDefault="00FE1B58" w:rsidP="00FE1B58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Deductions are taken on a post-tax basis</w:t>
      </w:r>
    </w:p>
    <w:p w:rsidR="00FE1B58" w:rsidRDefault="00FE1B58" w:rsidP="00FE1B58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 may elect to defer their leave payment to the Roth plan</w:t>
      </w:r>
    </w:p>
    <w:p w:rsidR="00FE1B58" w:rsidRDefault="00FE1B58" w:rsidP="00FE1B58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Age and annual deduction limits </w:t>
      </w:r>
      <w:r w:rsidR="008E363F">
        <w:rPr>
          <w:rFonts w:ascii="Verdana" w:hAnsi="Verdana" w:cs="Verdana"/>
          <w:sz w:val="20"/>
          <w:szCs w:val="20"/>
        </w:rPr>
        <w:t xml:space="preserve">are </w:t>
      </w:r>
      <w:r>
        <w:rPr>
          <w:rFonts w:ascii="Verdana" w:hAnsi="Verdana" w:cs="Verdana"/>
          <w:sz w:val="20"/>
          <w:szCs w:val="20"/>
        </w:rPr>
        <w:t>consistent with the existing deferred compensation plan</w:t>
      </w:r>
    </w:p>
    <w:p w:rsidR="00FE1B58" w:rsidRDefault="00FE1B58" w:rsidP="00FE1B58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Employees may elect to enroll in </w:t>
      </w:r>
      <w:r w:rsidR="008E363F">
        <w:rPr>
          <w:rFonts w:ascii="Verdana" w:hAnsi="Verdana" w:cs="Verdana"/>
          <w:sz w:val="20"/>
          <w:szCs w:val="20"/>
        </w:rPr>
        <w:t xml:space="preserve">both </w:t>
      </w:r>
      <w:r>
        <w:rPr>
          <w:rFonts w:ascii="Verdana" w:hAnsi="Verdana" w:cs="Verdana"/>
          <w:sz w:val="20"/>
          <w:szCs w:val="20"/>
        </w:rPr>
        <w:t>deferred compensation and Roth.  If enrolled in both plans:</w:t>
      </w:r>
    </w:p>
    <w:p w:rsidR="00FE1B58" w:rsidRDefault="008E363F" w:rsidP="00FE1B58">
      <w:pPr>
        <w:pStyle w:val="ListParagraph"/>
        <w:numPr>
          <w:ilvl w:val="1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FE1B58">
        <w:rPr>
          <w:rFonts w:ascii="Verdana" w:hAnsi="Verdana" w:cs="Verdana"/>
          <w:sz w:val="20"/>
          <w:szCs w:val="20"/>
        </w:rPr>
        <w:t xml:space="preserve">eductions will be taken </w:t>
      </w:r>
      <w:r>
        <w:rPr>
          <w:rFonts w:ascii="Verdana" w:hAnsi="Verdana" w:cs="Verdana"/>
          <w:sz w:val="20"/>
          <w:szCs w:val="20"/>
        </w:rPr>
        <w:t xml:space="preserve">first from the </w:t>
      </w:r>
      <w:r w:rsidR="00FE1B58">
        <w:rPr>
          <w:rFonts w:ascii="Verdana" w:hAnsi="Verdana" w:cs="Verdana"/>
          <w:sz w:val="20"/>
          <w:szCs w:val="20"/>
        </w:rPr>
        <w:t xml:space="preserve">deferred compensation </w:t>
      </w:r>
      <w:r>
        <w:rPr>
          <w:rFonts w:ascii="Verdana" w:hAnsi="Verdana" w:cs="Verdana"/>
          <w:sz w:val="20"/>
          <w:szCs w:val="20"/>
        </w:rPr>
        <w:t xml:space="preserve">plan </w:t>
      </w:r>
      <w:r w:rsidR="00FE1B58">
        <w:rPr>
          <w:rFonts w:ascii="Verdana" w:hAnsi="Verdana" w:cs="Verdana"/>
          <w:sz w:val="20"/>
          <w:szCs w:val="20"/>
        </w:rPr>
        <w:t xml:space="preserve">and </w:t>
      </w:r>
      <w:r>
        <w:rPr>
          <w:rFonts w:ascii="Verdana" w:hAnsi="Verdana" w:cs="Verdana"/>
          <w:sz w:val="20"/>
          <w:szCs w:val="20"/>
        </w:rPr>
        <w:t xml:space="preserve">secondly from the </w:t>
      </w:r>
      <w:r w:rsidR="00FE1B58">
        <w:rPr>
          <w:rFonts w:ascii="Verdana" w:hAnsi="Verdana" w:cs="Verdana"/>
          <w:sz w:val="20"/>
          <w:szCs w:val="20"/>
        </w:rPr>
        <w:t>Roth</w:t>
      </w:r>
      <w:r>
        <w:rPr>
          <w:rFonts w:ascii="Verdana" w:hAnsi="Verdana" w:cs="Verdana"/>
          <w:sz w:val="20"/>
          <w:szCs w:val="20"/>
        </w:rPr>
        <w:t xml:space="preserve"> plan</w:t>
      </w:r>
    </w:p>
    <w:p w:rsidR="00FE1B58" w:rsidRDefault="00FE1B58" w:rsidP="00FE1B58">
      <w:pPr>
        <w:pStyle w:val="ListParagraph"/>
        <w:numPr>
          <w:ilvl w:val="1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Annual contributions cannot exceed the annual maximum </w:t>
      </w:r>
      <w:r w:rsidR="00984576">
        <w:rPr>
          <w:rFonts w:ascii="Verdana" w:hAnsi="Verdana" w:cs="Verdana"/>
          <w:sz w:val="20"/>
          <w:szCs w:val="20"/>
        </w:rPr>
        <w:t xml:space="preserve">limits </w:t>
      </w:r>
      <w:r>
        <w:rPr>
          <w:rFonts w:ascii="Verdana" w:hAnsi="Verdana" w:cs="Verdana"/>
          <w:sz w:val="20"/>
          <w:szCs w:val="20"/>
        </w:rPr>
        <w:t>based on the total contributions for both plans</w:t>
      </w:r>
    </w:p>
    <w:p w:rsidR="00FE1B58" w:rsidRDefault="00FE1B58" w:rsidP="00FE1B58">
      <w:pPr>
        <w:pStyle w:val="ListParagraph"/>
        <w:numPr>
          <w:ilvl w:val="2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$17,000 based on regular enrollment</w:t>
      </w:r>
    </w:p>
    <w:p w:rsidR="00FE1B58" w:rsidRDefault="00FE1B58" w:rsidP="00FE1B58">
      <w:pPr>
        <w:pStyle w:val="ListParagraph"/>
        <w:numPr>
          <w:ilvl w:val="2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$22,500 for age 50 catch-up</w:t>
      </w:r>
    </w:p>
    <w:p w:rsidR="000B675C" w:rsidRDefault="00FE1B58" w:rsidP="000B675C">
      <w:pPr>
        <w:pStyle w:val="ListParagraph"/>
        <w:numPr>
          <w:ilvl w:val="2"/>
          <w:numId w:val="34"/>
        </w:numPr>
        <w:rPr>
          <w:rFonts w:ascii="Verdana" w:hAnsi="Verdana" w:cs="Verdana"/>
          <w:sz w:val="20"/>
          <w:szCs w:val="20"/>
        </w:rPr>
      </w:pPr>
      <w:r w:rsidRPr="000B675C">
        <w:rPr>
          <w:rFonts w:ascii="Verdana" w:hAnsi="Verdana" w:cs="Verdana"/>
          <w:sz w:val="20"/>
          <w:szCs w:val="20"/>
        </w:rPr>
        <w:t>$34,000 for special catch-up (within 3 years of normal retirement date)</w:t>
      </w:r>
      <w:r w:rsidR="000B675C">
        <w:rPr>
          <w:rFonts w:ascii="Verdana" w:hAnsi="Verdana" w:cs="Verdana"/>
          <w:sz w:val="20"/>
          <w:szCs w:val="20"/>
        </w:rPr>
        <w:t xml:space="preserve"> </w:t>
      </w:r>
    </w:p>
    <w:p w:rsidR="008334F8" w:rsidRDefault="008334F8" w:rsidP="000B675C">
      <w:pPr>
        <w:pStyle w:val="ListParagraph"/>
        <w:ind w:left="0"/>
        <w:rPr>
          <w:rFonts w:ascii="Verdana" w:hAnsi="Verdana" w:cs="Verdana"/>
          <w:sz w:val="20"/>
          <w:szCs w:val="20"/>
        </w:rPr>
      </w:pPr>
    </w:p>
    <w:p w:rsidR="000B675C" w:rsidRPr="000B675C" w:rsidRDefault="000B675C" w:rsidP="000B675C">
      <w:pPr>
        <w:pStyle w:val="ListParagraph"/>
        <w:ind w:left="0"/>
        <w:rPr>
          <w:rFonts w:ascii="Verdana" w:hAnsi="Verdana" w:cs="Verdana"/>
          <w:sz w:val="20"/>
          <w:szCs w:val="20"/>
        </w:rPr>
      </w:pPr>
      <w:r w:rsidRPr="000B675C">
        <w:rPr>
          <w:rFonts w:ascii="Verdana" w:hAnsi="Verdana" w:cs="Verdana"/>
          <w:sz w:val="20"/>
          <w:szCs w:val="20"/>
        </w:rPr>
        <w:t xml:space="preserve">In order to implement </w:t>
      </w:r>
      <w:r>
        <w:rPr>
          <w:rFonts w:ascii="Verdana" w:hAnsi="Verdana" w:cs="Verdana"/>
          <w:sz w:val="20"/>
          <w:szCs w:val="20"/>
        </w:rPr>
        <w:t>the new Roth 457 plan</w:t>
      </w:r>
      <w:r w:rsidRPr="000B675C">
        <w:rPr>
          <w:rFonts w:ascii="Verdana" w:hAnsi="Verdana" w:cs="Verdana"/>
          <w:sz w:val="20"/>
          <w:szCs w:val="20"/>
        </w:rPr>
        <w:t xml:space="preserve">, a reconfiguration of the deferred compensation </w:t>
      </w:r>
      <w:r w:rsidR="000D1051">
        <w:rPr>
          <w:rFonts w:ascii="Verdana" w:hAnsi="Verdana" w:cs="Verdana"/>
          <w:sz w:val="20"/>
          <w:szCs w:val="20"/>
        </w:rPr>
        <w:t>program</w:t>
      </w:r>
      <w:r w:rsidRPr="000B675C">
        <w:rPr>
          <w:rFonts w:ascii="Verdana" w:hAnsi="Verdana" w:cs="Verdana"/>
          <w:sz w:val="20"/>
          <w:szCs w:val="20"/>
        </w:rPr>
        <w:t xml:space="preserve"> in SAP was required.</w:t>
      </w:r>
      <w:r w:rsidR="000D1051">
        <w:rPr>
          <w:rFonts w:ascii="Verdana" w:hAnsi="Verdana" w:cs="Verdana"/>
          <w:sz w:val="20"/>
          <w:szCs w:val="20"/>
        </w:rPr>
        <w:t xml:space="preserve">  The following SAP changes have been made:</w:t>
      </w:r>
    </w:p>
    <w:p w:rsidR="000D1051" w:rsidRDefault="000D1051" w:rsidP="000D1051">
      <w:pPr>
        <w:pStyle w:val="ListParagraph"/>
        <w:rPr>
          <w:rFonts w:ascii="Verdana" w:hAnsi="Verdana" w:cs="Verdana"/>
          <w:sz w:val="20"/>
          <w:szCs w:val="20"/>
        </w:rPr>
      </w:pPr>
    </w:p>
    <w:p w:rsidR="00743256" w:rsidRDefault="000A2E25" w:rsidP="00F2599F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Creation of new plan type</w:t>
      </w:r>
    </w:p>
    <w:p w:rsidR="00743256" w:rsidRDefault="000A2E25" w:rsidP="00743256">
      <w:pPr>
        <w:pStyle w:val="ListParagraph"/>
        <w:numPr>
          <w:ilvl w:val="1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ROTH – Roth 457</w:t>
      </w:r>
    </w:p>
    <w:p w:rsidR="00BF1D63" w:rsidRDefault="00983DBB" w:rsidP="00BF1D63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Benefit</w:t>
      </w:r>
      <w:r w:rsidR="00BF1D63">
        <w:rPr>
          <w:rFonts w:ascii="Verdana" w:hAnsi="Verdana" w:cs="Verdana"/>
          <w:sz w:val="20"/>
          <w:szCs w:val="20"/>
        </w:rPr>
        <w:t xml:space="preserve"> plan</w:t>
      </w:r>
      <w:r w:rsidR="00704E45">
        <w:rPr>
          <w:rFonts w:ascii="Verdana" w:hAnsi="Verdana" w:cs="Verdana"/>
          <w:sz w:val="20"/>
          <w:szCs w:val="20"/>
        </w:rPr>
        <w:t>s</w:t>
      </w:r>
      <w:r w:rsidR="00BF1D63">
        <w:rPr>
          <w:rFonts w:ascii="Verdana" w:hAnsi="Verdana" w:cs="Verdana"/>
          <w:sz w:val="20"/>
          <w:szCs w:val="20"/>
        </w:rPr>
        <w:t xml:space="preserve"> will be locked</w:t>
      </w:r>
      <w:r w:rsidR="002F6C05">
        <w:rPr>
          <w:rFonts w:ascii="Verdana" w:hAnsi="Verdana" w:cs="Verdana"/>
          <w:sz w:val="20"/>
          <w:szCs w:val="20"/>
        </w:rPr>
        <w:t xml:space="preserve"> effective 8/1/2012</w:t>
      </w:r>
    </w:p>
    <w:p w:rsidR="00BF1D63" w:rsidRDefault="00BF1D63" w:rsidP="00BF1D63">
      <w:pPr>
        <w:pStyle w:val="ListParagraph"/>
        <w:numPr>
          <w:ilvl w:val="1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DEFR – Deferred Comp Regular</w:t>
      </w:r>
    </w:p>
    <w:p w:rsidR="00BF1D63" w:rsidRDefault="00BF1D63" w:rsidP="00BF1D63">
      <w:pPr>
        <w:pStyle w:val="ListParagraph"/>
        <w:numPr>
          <w:ilvl w:val="1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DEFC – Deferred Comp Catch</w:t>
      </w:r>
      <w:r w:rsidR="008E363F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up</w:t>
      </w:r>
    </w:p>
    <w:p w:rsidR="00F2599F" w:rsidRPr="00CB2B91" w:rsidRDefault="00983DBB" w:rsidP="00CB2B91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 w:rsidRPr="00CB2B91">
        <w:rPr>
          <w:rFonts w:ascii="Verdana" w:hAnsi="Verdana" w:cs="Verdana"/>
          <w:sz w:val="20"/>
          <w:szCs w:val="20"/>
        </w:rPr>
        <w:t>Creation of t</w:t>
      </w:r>
      <w:r w:rsidR="00F2599F" w:rsidRPr="00CB2B91">
        <w:rPr>
          <w:rFonts w:ascii="Verdana" w:hAnsi="Verdana" w:cs="Verdana"/>
          <w:sz w:val="20"/>
          <w:szCs w:val="20"/>
        </w:rPr>
        <w:t xml:space="preserve">wo new </w:t>
      </w:r>
      <w:r w:rsidR="00BF1D63" w:rsidRPr="00CB2B91">
        <w:rPr>
          <w:rFonts w:ascii="Verdana" w:hAnsi="Verdana" w:cs="Verdana"/>
          <w:sz w:val="20"/>
          <w:szCs w:val="20"/>
        </w:rPr>
        <w:t>benefit plan</w:t>
      </w:r>
      <w:r w:rsidR="00CB2B91">
        <w:rPr>
          <w:rFonts w:ascii="Verdana" w:hAnsi="Verdana" w:cs="Verdana"/>
          <w:sz w:val="20"/>
          <w:szCs w:val="20"/>
        </w:rPr>
        <w:t>s</w:t>
      </w:r>
      <w:r w:rsidR="00BF1D63" w:rsidRPr="00CB2B91">
        <w:rPr>
          <w:rFonts w:ascii="Verdana" w:hAnsi="Verdana" w:cs="Verdana"/>
          <w:sz w:val="20"/>
          <w:szCs w:val="20"/>
        </w:rPr>
        <w:t xml:space="preserve"> </w:t>
      </w:r>
    </w:p>
    <w:p w:rsidR="00743256" w:rsidRDefault="00743256" w:rsidP="00743256">
      <w:pPr>
        <w:pStyle w:val="ListParagraph"/>
        <w:numPr>
          <w:ilvl w:val="1"/>
          <w:numId w:val="35"/>
        </w:numPr>
        <w:rPr>
          <w:rFonts w:ascii="Verdana" w:hAnsi="Verdana" w:cs="Verdana"/>
          <w:sz w:val="20"/>
          <w:szCs w:val="20"/>
        </w:rPr>
      </w:pPr>
      <w:r w:rsidRPr="00352038">
        <w:rPr>
          <w:rFonts w:ascii="Verdana" w:hAnsi="Verdana" w:cs="Verdana"/>
          <w:sz w:val="20"/>
          <w:szCs w:val="20"/>
        </w:rPr>
        <w:t>DCMP – Deferred Comp</w:t>
      </w:r>
    </w:p>
    <w:p w:rsidR="000D1051" w:rsidRPr="007870E6" w:rsidRDefault="00743256" w:rsidP="000D1051">
      <w:pPr>
        <w:pStyle w:val="ListParagraph"/>
        <w:numPr>
          <w:ilvl w:val="1"/>
          <w:numId w:val="35"/>
        </w:numPr>
        <w:rPr>
          <w:rFonts w:ascii="Verdana" w:hAnsi="Verdana" w:cs="Verdana"/>
          <w:sz w:val="20"/>
          <w:szCs w:val="20"/>
        </w:rPr>
      </w:pPr>
      <w:r w:rsidRPr="007870E6">
        <w:rPr>
          <w:rFonts w:ascii="Verdana" w:hAnsi="Verdana" w:cs="Verdana"/>
          <w:sz w:val="20"/>
          <w:szCs w:val="20"/>
        </w:rPr>
        <w:t>ROTH – Roth 457</w:t>
      </w:r>
    </w:p>
    <w:p w:rsidR="00743256" w:rsidRDefault="00983DBB" w:rsidP="00743256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Creation of </w:t>
      </w:r>
      <w:r w:rsidR="00743256">
        <w:rPr>
          <w:rFonts w:ascii="Verdana" w:hAnsi="Verdana" w:cs="Verdana"/>
          <w:sz w:val="20"/>
          <w:szCs w:val="20"/>
        </w:rPr>
        <w:t xml:space="preserve">new wage types </w:t>
      </w:r>
      <w:r w:rsidR="00CB2B91">
        <w:rPr>
          <w:rFonts w:ascii="Verdana" w:hAnsi="Verdana" w:cs="Verdana"/>
          <w:sz w:val="20"/>
          <w:szCs w:val="20"/>
        </w:rPr>
        <w:t>for each</w:t>
      </w:r>
      <w:r>
        <w:rPr>
          <w:rFonts w:ascii="Verdana" w:hAnsi="Verdana" w:cs="Verdana"/>
          <w:sz w:val="20"/>
          <w:szCs w:val="20"/>
        </w:rPr>
        <w:t xml:space="preserve"> benefit plan</w:t>
      </w:r>
    </w:p>
    <w:p w:rsidR="00743256" w:rsidRDefault="00743256" w:rsidP="00743256">
      <w:pPr>
        <w:pStyle w:val="ListParagraph"/>
        <w:numPr>
          <w:ilvl w:val="1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DCMP</w:t>
      </w:r>
    </w:p>
    <w:p w:rsidR="00743256" w:rsidRDefault="00743256" w:rsidP="00743256">
      <w:pPr>
        <w:pStyle w:val="ListParagraph"/>
        <w:numPr>
          <w:ilvl w:val="2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6E74 Deferred Compensation</w:t>
      </w:r>
      <w:r w:rsidR="00704E45">
        <w:rPr>
          <w:rFonts w:ascii="Verdana" w:hAnsi="Verdana" w:cs="Verdana"/>
          <w:sz w:val="20"/>
          <w:szCs w:val="20"/>
        </w:rPr>
        <w:t xml:space="preserve"> (is currently used)</w:t>
      </w:r>
    </w:p>
    <w:p w:rsidR="00743256" w:rsidRDefault="00743256" w:rsidP="00743256">
      <w:pPr>
        <w:pStyle w:val="ListParagraph"/>
        <w:numPr>
          <w:ilvl w:val="2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6E7C Deferred Comp Catch-up</w:t>
      </w:r>
    </w:p>
    <w:p w:rsidR="00743256" w:rsidRDefault="00743256" w:rsidP="00743256">
      <w:pPr>
        <w:pStyle w:val="ListParagraph"/>
        <w:numPr>
          <w:ilvl w:val="1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ROTH</w:t>
      </w:r>
    </w:p>
    <w:p w:rsidR="00743256" w:rsidRDefault="00743256" w:rsidP="00743256">
      <w:pPr>
        <w:pStyle w:val="ListParagraph"/>
        <w:numPr>
          <w:ilvl w:val="2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6E68 Roth 457</w:t>
      </w:r>
    </w:p>
    <w:p w:rsidR="00743256" w:rsidRPr="00743256" w:rsidRDefault="00743256" w:rsidP="00743256">
      <w:pPr>
        <w:pStyle w:val="ListParagraph"/>
        <w:numPr>
          <w:ilvl w:val="2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6E6C Roth 457 Catch-up</w:t>
      </w:r>
    </w:p>
    <w:p w:rsidR="00743256" w:rsidRDefault="00743256" w:rsidP="00F2599F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Validation will occur based on:</w:t>
      </w:r>
    </w:p>
    <w:p w:rsidR="00743256" w:rsidRDefault="00743256" w:rsidP="00743256">
      <w:pPr>
        <w:pStyle w:val="ListParagraph"/>
        <w:numPr>
          <w:ilvl w:val="1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presence of a retirement record on IT0169 – Savings Plan</w:t>
      </w:r>
    </w:p>
    <w:p w:rsidR="00743256" w:rsidRDefault="00743256" w:rsidP="00743256">
      <w:pPr>
        <w:pStyle w:val="ListParagraph"/>
        <w:numPr>
          <w:ilvl w:val="1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DOB – for Age 50 </w:t>
      </w:r>
      <w:r w:rsidR="008E363F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atch-up</w:t>
      </w:r>
    </w:p>
    <w:p w:rsidR="00743256" w:rsidRDefault="00743256" w:rsidP="00743256">
      <w:pPr>
        <w:pStyle w:val="ListParagraph"/>
        <w:numPr>
          <w:ilvl w:val="2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Identifies employees eligible to defer an additional $5,500 for a total of $22,500 in a calendar year</w:t>
      </w:r>
    </w:p>
    <w:p w:rsidR="00743256" w:rsidRDefault="00743256" w:rsidP="00743256">
      <w:pPr>
        <w:pStyle w:val="ListParagraph"/>
        <w:numPr>
          <w:ilvl w:val="2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Contributions will stop at $22,500 annually</w:t>
      </w:r>
    </w:p>
    <w:p w:rsidR="00743256" w:rsidRDefault="00743256" w:rsidP="00743256">
      <w:pPr>
        <w:pStyle w:val="ListParagraph"/>
        <w:numPr>
          <w:ilvl w:val="1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presence of </w:t>
      </w:r>
      <w:r w:rsidR="00BB0935">
        <w:rPr>
          <w:rFonts w:ascii="Verdana" w:hAnsi="Verdana" w:cs="Verdana"/>
          <w:sz w:val="20"/>
          <w:szCs w:val="20"/>
        </w:rPr>
        <w:t>a NR</w:t>
      </w:r>
      <w:r w:rsidR="009E04D6">
        <w:rPr>
          <w:rFonts w:ascii="Verdana" w:hAnsi="Verdana" w:cs="Verdana"/>
          <w:sz w:val="20"/>
          <w:szCs w:val="20"/>
        </w:rPr>
        <w:t xml:space="preserve"> </w:t>
      </w:r>
      <w:r w:rsidR="00BB0935">
        <w:rPr>
          <w:rFonts w:ascii="Verdana" w:hAnsi="Verdana" w:cs="Verdana"/>
          <w:sz w:val="20"/>
          <w:szCs w:val="20"/>
        </w:rPr>
        <w:t xml:space="preserve">- Normal Retirement </w:t>
      </w:r>
      <w:proofErr w:type="spellStart"/>
      <w:r w:rsidR="00BB0935">
        <w:rPr>
          <w:rFonts w:ascii="Verdana" w:hAnsi="Verdana" w:cs="Verdana"/>
          <w:sz w:val="20"/>
          <w:szCs w:val="20"/>
        </w:rPr>
        <w:t>Dt</w:t>
      </w:r>
      <w:proofErr w:type="spellEnd"/>
      <w:r w:rsidR="00BB0935">
        <w:rPr>
          <w:rFonts w:ascii="Verdana" w:hAnsi="Verdana" w:cs="Verdana"/>
          <w:sz w:val="20"/>
          <w:szCs w:val="20"/>
        </w:rPr>
        <w:t xml:space="preserve"> on IT</w:t>
      </w:r>
      <w:r>
        <w:rPr>
          <w:rFonts w:ascii="Verdana" w:hAnsi="Verdana" w:cs="Verdana"/>
          <w:sz w:val="20"/>
          <w:szCs w:val="20"/>
        </w:rPr>
        <w:t>0041 – Date Specifications</w:t>
      </w:r>
    </w:p>
    <w:p w:rsidR="00743256" w:rsidRDefault="00743256" w:rsidP="00743256">
      <w:pPr>
        <w:pStyle w:val="ListParagraph"/>
        <w:numPr>
          <w:ilvl w:val="2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Identifies employees eligible to defer the maximum of $34,000 in a calendar year based on being within 3 years of their N</w:t>
      </w:r>
      <w:r w:rsidR="000D1051">
        <w:rPr>
          <w:rFonts w:ascii="Verdana" w:hAnsi="Verdana" w:cs="Verdana"/>
          <w:sz w:val="20"/>
          <w:szCs w:val="20"/>
        </w:rPr>
        <w:t>ormal Retirement Date (N</w:t>
      </w:r>
      <w:r>
        <w:rPr>
          <w:rFonts w:ascii="Verdana" w:hAnsi="Verdana" w:cs="Verdana"/>
          <w:sz w:val="20"/>
          <w:szCs w:val="20"/>
        </w:rPr>
        <w:t>RD</w:t>
      </w:r>
      <w:r w:rsidR="000D1051">
        <w:rPr>
          <w:rFonts w:ascii="Verdana" w:hAnsi="Verdana" w:cs="Verdana"/>
          <w:sz w:val="20"/>
          <w:szCs w:val="20"/>
        </w:rPr>
        <w:t>)</w:t>
      </w:r>
    </w:p>
    <w:p w:rsidR="00743256" w:rsidRDefault="00743256" w:rsidP="00743256">
      <w:pPr>
        <w:pStyle w:val="ListParagraph"/>
        <w:numPr>
          <w:ilvl w:val="1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presence of Wage Type - /PCU – 457 Unutilized Amount on IT0015 – Additional Payments</w:t>
      </w:r>
    </w:p>
    <w:p w:rsidR="00743256" w:rsidRDefault="00743256" w:rsidP="00743256">
      <w:pPr>
        <w:pStyle w:val="ListParagraph"/>
        <w:numPr>
          <w:ilvl w:val="2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Identifies the </w:t>
      </w:r>
      <w:r w:rsidR="008E363F">
        <w:rPr>
          <w:rFonts w:ascii="Verdana" w:hAnsi="Verdana" w:cs="Verdana"/>
          <w:sz w:val="20"/>
          <w:szCs w:val="20"/>
        </w:rPr>
        <w:t>underutilized</w:t>
      </w:r>
      <w:r>
        <w:rPr>
          <w:rFonts w:ascii="Verdana" w:hAnsi="Verdana" w:cs="Verdana"/>
          <w:sz w:val="20"/>
          <w:szCs w:val="20"/>
        </w:rPr>
        <w:t xml:space="preserve"> amount that an employee can contribute during the 3 years prior to their NRD up to a maximum of $34,000 annually</w:t>
      </w:r>
      <w:r w:rsidR="0065634D">
        <w:rPr>
          <w:rFonts w:ascii="Verdana" w:hAnsi="Verdana" w:cs="Verdana"/>
          <w:sz w:val="20"/>
          <w:szCs w:val="20"/>
        </w:rPr>
        <w:t xml:space="preserve">.  The default </w:t>
      </w:r>
      <w:r w:rsidR="00B636E4">
        <w:rPr>
          <w:rFonts w:ascii="Verdana" w:hAnsi="Verdana" w:cs="Verdana"/>
          <w:sz w:val="20"/>
          <w:szCs w:val="20"/>
        </w:rPr>
        <w:t xml:space="preserve">amount </w:t>
      </w:r>
      <w:r w:rsidR="0065634D">
        <w:rPr>
          <w:rFonts w:ascii="Verdana" w:hAnsi="Verdana" w:cs="Verdana"/>
          <w:sz w:val="20"/>
          <w:szCs w:val="20"/>
        </w:rPr>
        <w:t>for this field is $60,000</w:t>
      </w:r>
      <w:r w:rsidR="008E363F">
        <w:rPr>
          <w:rFonts w:ascii="Verdana" w:hAnsi="Verdana" w:cs="Verdana"/>
          <w:sz w:val="20"/>
          <w:szCs w:val="20"/>
        </w:rPr>
        <w:t>.</w:t>
      </w:r>
    </w:p>
    <w:p w:rsidR="00743256" w:rsidRDefault="00743256" w:rsidP="00743256">
      <w:pPr>
        <w:pStyle w:val="ListParagraph"/>
        <w:numPr>
          <w:ilvl w:val="2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Once an employee reaches $34,000 in a calendar year and/or they have contributed </w:t>
      </w:r>
      <w:proofErr w:type="gramStart"/>
      <w:r>
        <w:rPr>
          <w:rFonts w:ascii="Verdana" w:hAnsi="Verdana" w:cs="Verdana"/>
          <w:sz w:val="20"/>
          <w:szCs w:val="20"/>
        </w:rPr>
        <w:t>all of the</w:t>
      </w:r>
      <w:proofErr w:type="gramEnd"/>
      <w:r>
        <w:rPr>
          <w:rFonts w:ascii="Verdana" w:hAnsi="Verdana" w:cs="Verdana"/>
          <w:sz w:val="20"/>
          <w:szCs w:val="20"/>
        </w:rPr>
        <w:t xml:space="preserve"> underutilized amount</w:t>
      </w:r>
      <w:r w:rsidR="000A4573">
        <w:rPr>
          <w:rFonts w:ascii="Verdana" w:hAnsi="Verdana" w:cs="Verdana"/>
          <w:sz w:val="20"/>
          <w:szCs w:val="20"/>
        </w:rPr>
        <w:t xml:space="preserve"> over a three year period</w:t>
      </w:r>
      <w:r>
        <w:rPr>
          <w:rFonts w:ascii="Verdana" w:hAnsi="Verdana" w:cs="Verdana"/>
          <w:sz w:val="20"/>
          <w:szCs w:val="20"/>
        </w:rPr>
        <w:t>, the deductions will stop</w:t>
      </w:r>
      <w:r w:rsidR="0067261E">
        <w:rPr>
          <w:rFonts w:ascii="Verdana" w:hAnsi="Verdana" w:cs="Verdana"/>
          <w:sz w:val="20"/>
          <w:szCs w:val="20"/>
        </w:rPr>
        <w:t xml:space="preserve"> for the calendar year.</w:t>
      </w:r>
    </w:p>
    <w:p w:rsidR="00743256" w:rsidRDefault="00743256" w:rsidP="00743256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Separation actions</w:t>
      </w:r>
    </w:p>
    <w:p w:rsidR="00F2599F" w:rsidRDefault="00743256" w:rsidP="00E56507">
      <w:pPr>
        <w:pStyle w:val="ListParagraph"/>
        <w:numPr>
          <w:ilvl w:val="1"/>
          <w:numId w:val="35"/>
        </w:numPr>
        <w:rPr>
          <w:rFonts w:ascii="Verdana" w:hAnsi="Verdana" w:cs="Verdana"/>
          <w:sz w:val="20"/>
          <w:szCs w:val="20"/>
        </w:rPr>
      </w:pPr>
      <w:r w:rsidRPr="00983DBB">
        <w:rPr>
          <w:rFonts w:ascii="Verdana" w:hAnsi="Verdana" w:cs="Verdana"/>
          <w:sz w:val="20"/>
          <w:szCs w:val="20"/>
        </w:rPr>
        <w:t xml:space="preserve">All new plan codes will be delimited </w:t>
      </w:r>
      <w:r w:rsidR="00983DBB" w:rsidRPr="00983DBB">
        <w:rPr>
          <w:rFonts w:ascii="Verdana" w:hAnsi="Verdana" w:cs="Verdana"/>
          <w:sz w:val="20"/>
          <w:szCs w:val="20"/>
        </w:rPr>
        <w:t xml:space="preserve">with the separation action </w:t>
      </w:r>
      <w:r w:rsidRPr="00983DBB">
        <w:rPr>
          <w:rFonts w:ascii="Verdana" w:hAnsi="Verdana" w:cs="Verdana"/>
          <w:sz w:val="20"/>
          <w:szCs w:val="20"/>
        </w:rPr>
        <w:t xml:space="preserve">effective the last day of the pay period </w:t>
      </w:r>
      <w:r w:rsidR="000D1051">
        <w:rPr>
          <w:rFonts w:ascii="Verdana" w:hAnsi="Verdana" w:cs="Verdana"/>
          <w:sz w:val="20"/>
          <w:szCs w:val="20"/>
        </w:rPr>
        <w:t>in which the employee sep</w:t>
      </w:r>
      <w:r w:rsidR="00B636E4">
        <w:rPr>
          <w:rFonts w:ascii="Verdana" w:hAnsi="Verdana" w:cs="Verdana"/>
          <w:sz w:val="20"/>
          <w:szCs w:val="20"/>
        </w:rPr>
        <w:t>arates</w:t>
      </w:r>
      <w:r w:rsidR="008E363F">
        <w:rPr>
          <w:rFonts w:ascii="Verdana" w:hAnsi="Verdana" w:cs="Verdana"/>
          <w:sz w:val="20"/>
          <w:szCs w:val="20"/>
        </w:rPr>
        <w:t>.</w:t>
      </w:r>
      <w:r w:rsidRPr="00983DBB">
        <w:rPr>
          <w:rFonts w:ascii="Verdana" w:hAnsi="Verdana" w:cs="Verdana"/>
          <w:sz w:val="20"/>
          <w:szCs w:val="20"/>
        </w:rPr>
        <w:t xml:space="preserve"> </w:t>
      </w:r>
    </w:p>
    <w:p w:rsidR="008334F8" w:rsidRPr="008334F8" w:rsidRDefault="008334F8" w:rsidP="008334F8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8334F8">
        <w:rPr>
          <w:rFonts w:ascii="Verdana" w:hAnsi="Verdana" w:cs="Verdana"/>
          <w:sz w:val="20"/>
          <w:szCs w:val="20"/>
        </w:rPr>
        <w:lastRenderedPageBreak/>
        <w:t>All employees currently enrolled in the deferred compensation program will be converted to the new DCMP – Deferred Comp benefit plan with an effective date of August 1, 2012.</w:t>
      </w:r>
    </w:p>
    <w:p w:rsidR="008334F8" w:rsidRDefault="008334F8" w:rsidP="008334F8">
      <w:pPr>
        <w:pStyle w:val="ListParagraph"/>
        <w:rPr>
          <w:rFonts w:ascii="Verdana" w:hAnsi="Verdana" w:cs="Verdana"/>
          <w:sz w:val="20"/>
          <w:szCs w:val="20"/>
        </w:rPr>
      </w:pPr>
    </w:p>
    <w:p w:rsidR="00F2599F" w:rsidRDefault="00F2599F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following table shows the new </w:t>
      </w:r>
      <w:r w:rsidR="00B636E4">
        <w:rPr>
          <w:rFonts w:ascii="Verdana" w:hAnsi="Verdana" w:cs="Verdana"/>
          <w:sz w:val="20"/>
          <w:szCs w:val="20"/>
        </w:rPr>
        <w:t xml:space="preserve">SAP </w:t>
      </w:r>
      <w:r w:rsidR="00352038">
        <w:rPr>
          <w:rFonts w:ascii="Verdana" w:hAnsi="Verdana" w:cs="Verdana"/>
          <w:sz w:val="20"/>
          <w:szCs w:val="20"/>
        </w:rPr>
        <w:t xml:space="preserve">plans </w:t>
      </w:r>
      <w:r>
        <w:rPr>
          <w:rFonts w:ascii="Verdana" w:hAnsi="Verdana" w:cs="Verdana"/>
          <w:sz w:val="20"/>
          <w:szCs w:val="20"/>
        </w:rPr>
        <w:t>and associated wage types:</w:t>
      </w:r>
    </w:p>
    <w:p w:rsidR="00EE63E0" w:rsidRDefault="00EE63E0" w:rsidP="00E56507">
      <w:pPr>
        <w:rPr>
          <w:rFonts w:ascii="Verdana" w:hAnsi="Verdana" w:cs="Verdana"/>
          <w:sz w:val="20"/>
          <w:szCs w:val="20"/>
        </w:rPr>
      </w:pPr>
    </w:p>
    <w:tbl>
      <w:tblPr>
        <w:tblW w:w="9917" w:type="dxa"/>
        <w:tblInd w:w="93" w:type="dxa"/>
        <w:tblLayout w:type="fixed"/>
        <w:tblLook w:val="04A0"/>
      </w:tblPr>
      <w:tblGrid>
        <w:gridCol w:w="1222"/>
        <w:gridCol w:w="1223"/>
        <w:gridCol w:w="1870"/>
        <w:gridCol w:w="1100"/>
        <w:gridCol w:w="1710"/>
        <w:gridCol w:w="2792"/>
      </w:tblGrid>
      <w:tr w:rsidR="00E14FF2" w:rsidRPr="00E14FF2" w:rsidTr="008E363F">
        <w:trPr>
          <w:trHeight w:val="96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14FF2" w:rsidRPr="008E363F" w:rsidRDefault="00E14FF2" w:rsidP="00704E45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IT0169 - Plan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14FF2" w:rsidRPr="008E363F" w:rsidRDefault="00E14FF2" w:rsidP="00704E45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IT0169 - Benefit Plan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14FF2" w:rsidRPr="008E363F" w:rsidRDefault="00E14FF2" w:rsidP="00E14F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b/>
                <w:color w:val="000000"/>
                <w:sz w:val="20"/>
                <w:szCs w:val="20"/>
              </w:rPr>
              <w:t>IT0169 - Benefit Plan Text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14FF2" w:rsidRPr="008E363F" w:rsidRDefault="00E14FF2" w:rsidP="00E14F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b/>
                <w:color w:val="000000"/>
                <w:sz w:val="20"/>
                <w:szCs w:val="20"/>
              </w:rPr>
              <w:t>IT0014 - Wage Type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14FF2" w:rsidRPr="008E363F" w:rsidRDefault="00E14FF2" w:rsidP="00E14F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b/>
                <w:color w:val="000000"/>
                <w:sz w:val="20"/>
                <w:szCs w:val="20"/>
              </w:rPr>
              <w:t>IT0014 - Wage Type Short Text (8 positions)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14FF2" w:rsidRPr="008E363F" w:rsidRDefault="00E14FF2" w:rsidP="00E14FF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b/>
                <w:color w:val="000000"/>
                <w:sz w:val="20"/>
                <w:szCs w:val="20"/>
              </w:rPr>
              <w:t>IT0014 - Wage Type Long Text</w:t>
            </w:r>
          </w:p>
        </w:tc>
      </w:tr>
      <w:tr w:rsidR="00E14FF2" w:rsidRPr="00E14FF2" w:rsidTr="008E363F">
        <w:trPr>
          <w:trHeight w:val="28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 xml:space="preserve">DEFR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DCMP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Deferred Comp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6E74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6E74DCMP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Deferred Compensation</w:t>
            </w:r>
          </w:p>
        </w:tc>
      </w:tr>
      <w:tr w:rsidR="00E14FF2" w:rsidRPr="00E14FF2" w:rsidTr="008E363F">
        <w:trPr>
          <w:trHeight w:val="28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6E7C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6E7CDCMC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704E4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Deferred Comp</w:t>
            </w:r>
            <w:r w:rsidR="00704E4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Catch-up</w:t>
            </w:r>
          </w:p>
        </w:tc>
      </w:tr>
      <w:tr w:rsidR="00E14FF2" w:rsidRPr="00E14FF2" w:rsidTr="008E363F">
        <w:trPr>
          <w:trHeight w:val="28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E14FF2" w:rsidRPr="00E14FF2" w:rsidTr="008E363F">
        <w:trPr>
          <w:trHeight w:val="28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ROTH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ROTH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Roth 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6E68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6E68ROTH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Roth 457</w:t>
            </w:r>
          </w:p>
        </w:tc>
      </w:tr>
      <w:tr w:rsidR="00E14FF2" w:rsidRPr="00E14FF2" w:rsidTr="008E363F">
        <w:trPr>
          <w:trHeight w:val="28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6E6C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6E6CROTC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F2" w:rsidRPr="00E14FF2" w:rsidRDefault="00E14FF2" w:rsidP="00E14F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14FF2">
              <w:rPr>
                <w:rFonts w:ascii="Verdana" w:hAnsi="Verdana"/>
                <w:color w:val="000000"/>
                <w:sz w:val="20"/>
                <w:szCs w:val="20"/>
              </w:rPr>
              <w:t>Roth 457 Catch-up</w:t>
            </w:r>
          </w:p>
        </w:tc>
      </w:tr>
    </w:tbl>
    <w:p w:rsidR="00EE63E0" w:rsidRDefault="00EE63E0" w:rsidP="00E56507">
      <w:pPr>
        <w:rPr>
          <w:rFonts w:ascii="Verdana" w:hAnsi="Verdana" w:cs="Verdana"/>
          <w:sz w:val="20"/>
          <w:szCs w:val="20"/>
        </w:rPr>
      </w:pPr>
    </w:p>
    <w:p w:rsidR="00F2599F" w:rsidRDefault="00F2599F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following table depicts how the </w:t>
      </w:r>
      <w:r w:rsidR="00AB06BF">
        <w:rPr>
          <w:rFonts w:ascii="Verdana" w:hAnsi="Verdana" w:cs="Verdana"/>
          <w:sz w:val="20"/>
          <w:szCs w:val="20"/>
        </w:rPr>
        <w:t xml:space="preserve">deferred compensation/ROTH </w:t>
      </w:r>
      <w:r>
        <w:rPr>
          <w:rFonts w:ascii="Verdana" w:hAnsi="Verdana" w:cs="Verdana"/>
          <w:sz w:val="20"/>
          <w:szCs w:val="20"/>
        </w:rPr>
        <w:t>contributions will be applied based on the new configuration:</w:t>
      </w:r>
    </w:p>
    <w:p w:rsidR="00EE63E0" w:rsidRDefault="00EE63E0" w:rsidP="00E56507">
      <w:pPr>
        <w:rPr>
          <w:rFonts w:ascii="Verdana" w:hAnsi="Verdana" w:cs="Verdana"/>
          <w:sz w:val="20"/>
          <w:szCs w:val="20"/>
        </w:rPr>
      </w:pPr>
    </w:p>
    <w:tbl>
      <w:tblPr>
        <w:tblW w:w="10005" w:type="dxa"/>
        <w:tblInd w:w="93" w:type="dxa"/>
        <w:tblLayout w:type="fixed"/>
        <w:tblLook w:val="04A0"/>
      </w:tblPr>
      <w:tblGrid>
        <w:gridCol w:w="1455"/>
        <w:gridCol w:w="1320"/>
        <w:gridCol w:w="1320"/>
        <w:gridCol w:w="1320"/>
        <w:gridCol w:w="4590"/>
      </w:tblGrid>
      <w:tr w:rsidR="00196173" w:rsidRPr="00196173" w:rsidTr="008E363F">
        <w:trPr>
          <w:trHeight w:val="42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6173" w:rsidRPr="008E363F" w:rsidRDefault="00196173" w:rsidP="008E363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b/>
                <w:color w:val="000000"/>
                <w:sz w:val="20"/>
                <w:szCs w:val="20"/>
              </w:rPr>
              <w:t>Eligibility Type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6173" w:rsidRPr="008E363F" w:rsidRDefault="00196173" w:rsidP="008E363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b/>
                <w:color w:val="000000"/>
                <w:sz w:val="20"/>
                <w:szCs w:val="20"/>
              </w:rPr>
              <w:t>Annual Max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6173" w:rsidRPr="008E363F" w:rsidRDefault="00196173" w:rsidP="008E363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b/>
                <w:color w:val="000000"/>
                <w:sz w:val="20"/>
                <w:szCs w:val="20"/>
              </w:rPr>
              <w:t>Def Comp - Wage Type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6173" w:rsidRPr="008E363F" w:rsidRDefault="00196173" w:rsidP="008E363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b/>
                <w:color w:val="000000"/>
                <w:sz w:val="20"/>
                <w:szCs w:val="20"/>
              </w:rPr>
              <w:t>Roth - Wage Type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6173" w:rsidRPr="008E363F" w:rsidRDefault="00196173" w:rsidP="008E363F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196173" w:rsidRPr="00196173" w:rsidTr="008E363F">
        <w:trPr>
          <w:trHeight w:val="42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3" w:rsidRPr="008E363F" w:rsidRDefault="00196173" w:rsidP="0019617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>&lt; Age 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3" w:rsidRPr="008E363F" w:rsidRDefault="00196173" w:rsidP="0019617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$17,000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173" w:rsidRPr="008E363F" w:rsidRDefault="008C6FB0" w:rsidP="0019617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>6E74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173" w:rsidRPr="008E363F" w:rsidRDefault="008C6FB0" w:rsidP="0019617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>6E68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173" w:rsidRPr="008E363F" w:rsidRDefault="00196173" w:rsidP="008C6FB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>Am</w:t>
            </w:r>
            <w:r w:rsidR="00DC3DAB" w:rsidRPr="008E363F">
              <w:rPr>
                <w:rFonts w:ascii="Verdana" w:hAnsi="Verdana"/>
                <w:color w:val="000000"/>
                <w:sz w:val="20"/>
                <w:szCs w:val="20"/>
              </w:rPr>
              <w:t>oun</w:t>
            </w: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ts up to $17,000 will be reflected under </w:t>
            </w:r>
            <w:r w:rsidR="00DC3DAB" w:rsidRPr="008E363F">
              <w:rPr>
                <w:rFonts w:ascii="Verdana" w:hAnsi="Verdana"/>
                <w:color w:val="000000"/>
                <w:sz w:val="20"/>
                <w:szCs w:val="20"/>
              </w:rPr>
              <w:t>WT</w:t>
            </w:r>
            <w:r w:rsidR="008C6FB0"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 6E74</w:t>
            </w:r>
            <w:r w:rsidR="00DC3DAB"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 and/or WT</w:t>
            </w:r>
            <w:r w:rsidR="008C6FB0"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 6E68</w:t>
            </w:r>
          </w:p>
        </w:tc>
      </w:tr>
      <w:tr w:rsidR="00196173" w:rsidRPr="00196173" w:rsidTr="008E363F">
        <w:trPr>
          <w:trHeight w:val="63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3" w:rsidRPr="008E363F" w:rsidRDefault="00196173" w:rsidP="0019617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>&gt;Age 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3" w:rsidRPr="008E363F" w:rsidRDefault="00196173" w:rsidP="0019617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$22,500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173" w:rsidRPr="008E363F" w:rsidRDefault="008C6FB0" w:rsidP="0019617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>6E7C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173" w:rsidRPr="008E363F" w:rsidRDefault="008C6FB0" w:rsidP="0019617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>6E6C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173" w:rsidRPr="008E363F" w:rsidRDefault="00DC3DAB" w:rsidP="008C6FB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>Amounts</w:t>
            </w:r>
            <w:r w:rsidR="00196173"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 reflecting the Age 50 catch-up </w:t>
            </w: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will be </w:t>
            </w:r>
            <w:r w:rsidR="00196173"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reflected under </w:t>
            </w: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 WT</w:t>
            </w:r>
            <w:r w:rsidR="008C6FB0"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 6E7C</w:t>
            </w: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 and/or WT</w:t>
            </w:r>
            <w:r w:rsidR="008C6FB0"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 6E6C </w:t>
            </w:r>
            <w:r w:rsidR="00196173" w:rsidRPr="008E363F">
              <w:rPr>
                <w:rFonts w:ascii="Verdana" w:hAnsi="Verdana"/>
                <w:color w:val="000000"/>
                <w:sz w:val="20"/>
                <w:szCs w:val="20"/>
              </w:rPr>
              <w:t>and will never reflect more than $5,500</w:t>
            </w:r>
            <w:r w:rsidR="00B636E4"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 based on the current limits</w:t>
            </w:r>
          </w:p>
        </w:tc>
      </w:tr>
      <w:tr w:rsidR="008C6FB0" w:rsidRPr="00196173" w:rsidTr="008E363F">
        <w:trPr>
          <w:trHeight w:val="126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FB0" w:rsidRPr="008E363F" w:rsidRDefault="008C6FB0" w:rsidP="008E363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Within 3 </w:t>
            </w:r>
            <w:r w:rsidR="008E363F">
              <w:rPr>
                <w:rFonts w:ascii="Verdana" w:hAnsi="Verdana"/>
                <w:color w:val="000000"/>
                <w:sz w:val="20"/>
                <w:szCs w:val="20"/>
              </w:rPr>
              <w:t>years</w:t>
            </w: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 of normal retirement date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B0" w:rsidRPr="008E363F" w:rsidRDefault="008C6FB0" w:rsidP="0019617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$34,000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FB0" w:rsidRPr="008E363F" w:rsidRDefault="008C6FB0" w:rsidP="008C6F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>6E74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FB0" w:rsidRPr="008E363F" w:rsidRDefault="008C6FB0" w:rsidP="008C6F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>6E68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FB0" w:rsidRPr="008E363F" w:rsidRDefault="008C6FB0" w:rsidP="00C448C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Once an employee is within 3 years of normal retirement date and has elected the special catch-up, all contributions will revert to original wage types WT 6E74 and/or WT 6E68.  </w:t>
            </w:r>
            <w:r w:rsidRPr="008E363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Age </w:t>
            </w:r>
            <w:proofErr w:type="gramStart"/>
            <w:r w:rsidRPr="008E363F">
              <w:rPr>
                <w:rFonts w:ascii="Verdana" w:hAnsi="Verdana"/>
                <w:b/>
                <w:color w:val="000000"/>
                <w:sz w:val="20"/>
                <w:szCs w:val="20"/>
              </w:rPr>
              <w:t>50 catch-up</w:t>
            </w:r>
            <w:proofErr w:type="gramEnd"/>
            <w:r w:rsidRPr="008E363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and special catch-up cannot be utilized in the same calendar year.</w:t>
            </w:r>
            <w:r w:rsidRPr="008E363F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599F" w:rsidRDefault="00F2599F" w:rsidP="00E56507">
      <w:pPr>
        <w:rPr>
          <w:rFonts w:ascii="Verdana" w:hAnsi="Verdana" w:cs="Verdana"/>
          <w:sz w:val="20"/>
          <w:szCs w:val="20"/>
        </w:rPr>
      </w:pPr>
    </w:p>
    <w:p w:rsidR="000D2B4D" w:rsidRDefault="000D2B4D" w:rsidP="00E56507">
      <w:pPr>
        <w:rPr>
          <w:rFonts w:ascii="Verdana" w:hAnsi="Verdana" w:cs="Verdana"/>
          <w:sz w:val="20"/>
          <w:szCs w:val="20"/>
        </w:rPr>
      </w:pPr>
    </w:p>
    <w:p w:rsidR="00744B96" w:rsidRDefault="00744B96" w:rsidP="00744B96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Processing instructions for July 23-24, 2012:</w:t>
      </w:r>
    </w:p>
    <w:p w:rsidR="00744B96" w:rsidRDefault="00744B96" w:rsidP="00744B96">
      <w:pPr>
        <w:rPr>
          <w:rFonts w:ascii="Verdana" w:hAnsi="Verdana" w:cs="Verdana"/>
          <w:b/>
          <w:sz w:val="20"/>
          <w:szCs w:val="20"/>
        </w:rPr>
      </w:pPr>
    </w:p>
    <w:tbl>
      <w:tblPr>
        <w:tblStyle w:val="TableGrid"/>
        <w:tblW w:w="95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596"/>
      </w:tblGrid>
      <w:tr w:rsidR="000D2B4D" w:rsidTr="000D2B4D">
        <w:tc>
          <w:tcPr>
            <w:tcW w:w="1980" w:type="dxa"/>
          </w:tcPr>
          <w:p w:rsidR="000D2B4D" w:rsidRPr="00A60DBC" w:rsidRDefault="000D2B4D" w:rsidP="000D2B4D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A60DBC">
              <w:rPr>
                <w:rFonts w:ascii="Verdana" w:hAnsi="Verdana" w:cs="Verdana"/>
                <w:b/>
                <w:sz w:val="20"/>
                <w:szCs w:val="20"/>
              </w:rPr>
              <w:t>Bi-weekly contributions</w:t>
            </w:r>
          </w:p>
          <w:p w:rsidR="000D2B4D" w:rsidRDefault="000D2B4D" w:rsidP="000D2B4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0D2B4D" w:rsidRDefault="000D2B4D" w:rsidP="000D2B4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96" w:type="dxa"/>
          </w:tcPr>
          <w:p w:rsidR="000D2B4D" w:rsidRDefault="000D2B4D" w:rsidP="000D2B4D">
            <w:pPr>
              <w:pStyle w:val="ListParagraph"/>
              <w:numPr>
                <w:ilvl w:val="0"/>
                <w:numId w:val="42"/>
              </w:numPr>
              <w:ind w:left="432" w:hanging="27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Enrollments with an effective date prior to 8/1/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2012,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use the existing DEFR and DEFC plans.</w:t>
            </w:r>
          </w:p>
          <w:p w:rsidR="000D2B4D" w:rsidRDefault="000D2B4D" w:rsidP="000D2B4D">
            <w:pPr>
              <w:pStyle w:val="ListParagraph"/>
              <w:numPr>
                <w:ilvl w:val="0"/>
                <w:numId w:val="42"/>
              </w:numPr>
              <w:ind w:left="432" w:hanging="27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Enrollments with an effective date of 8/1/2012 or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after,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use the new DCMP plan (it is unlikely that forms will be received during the transition period with an effective date of 8/1/2012).</w:t>
            </w:r>
          </w:p>
          <w:p w:rsidR="000D2B4D" w:rsidRDefault="000D2B4D" w:rsidP="000D2B4D">
            <w:pPr>
              <w:ind w:left="432" w:hanging="27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D2B4D" w:rsidTr="000D2B4D">
        <w:tc>
          <w:tcPr>
            <w:tcW w:w="1980" w:type="dxa"/>
          </w:tcPr>
          <w:p w:rsidR="000D2B4D" w:rsidRPr="00A60DBC" w:rsidRDefault="000D2B4D" w:rsidP="000D2B4D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A60DBC">
              <w:rPr>
                <w:rFonts w:ascii="Verdana" w:hAnsi="Verdana" w:cs="Verdana"/>
                <w:b/>
                <w:sz w:val="20"/>
                <w:szCs w:val="20"/>
              </w:rPr>
              <w:t>Leave rollovers</w:t>
            </w:r>
          </w:p>
          <w:p w:rsidR="000D2B4D" w:rsidRDefault="000D2B4D" w:rsidP="00744B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96" w:type="dxa"/>
          </w:tcPr>
          <w:p w:rsidR="000D2B4D" w:rsidRPr="00A60DBC" w:rsidRDefault="000D2B4D" w:rsidP="000D2B4D">
            <w:pPr>
              <w:pStyle w:val="ListParagraph"/>
              <w:numPr>
                <w:ilvl w:val="0"/>
                <w:numId w:val="40"/>
              </w:numPr>
              <w:ind w:left="432" w:hanging="270"/>
              <w:rPr>
                <w:rFonts w:ascii="Verdana" w:hAnsi="Verdana" w:cs="Verdana"/>
                <w:sz w:val="20"/>
                <w:szCs w:val="20"/>
              </w:rPr>
            </w:pPr>
            <w:r w:rsidRPr="00A60DBC">
              <w:rPr>
                <w:rFonts w:ascii="Verdana" w:hAnsi="Verdana" w:cs="Verdana"/>
                <w:sz w:val="20"/>
                <w:szCs w:val="20"/>
              </w:rPr>
              <w:t>If the payout is effective during the pay period containing 8/1/2012 or after, use the new plan DCMP.</w:t>
            </w:r>
          </w:p>
          <w:p w:rsidR="000D2B4D" w:rsidRPr="000D2B4D" w:rsidRDefault="000D2B4D" w:rsidP="000D2B4D">
            <w:pPr>
              <w:pStyle w:val="ListParagraph"/>
              <w:numPr>
                <w:ilvl w:val="0"/>
                <w:numId w:val="40"/>
              </w:numPr>
              <w:ind w:left="432" w:hanging="270"/>
              <w:rPr>
                <w:rFonts w:ascii="Verdana" w:hAnsi="Verdana" w:cs="Verdana"/>
                <w:sz w:val="20"/>
                <w:szCs w:val="20"/>
              </w:rPr>
            </w:pPr>
            <w:r w:rsidRPr="00A60DBC">
              <w:rPr>
                <w:rFonts w:ascii="Verdana" w:hAnsi="Verdana" w:cs="Verdana"/>
                <w:sz w:val="20"/>
                <w:szCs w:val="20"/>
              </w:rPr>
              <w:t>If the payout is effective prior to the pay period containing 8/1/12, use the current DEFC plan.</w:t>
            </w:r>
          </w:p>
        </w:tc>
      </w:tr>
    </w:tbl>
    <w:p w:rsidR="00644E08" w:rsidRDefault="00644E08" w:rsidP="00644E0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The following are </w:t>
      </w:r>
      <w:r w:rsidR="008E363F">
        <w:rPr>
          <w:rFonts w:ascii="Verdana" w:hAnsi="Verdana" w:cs="Verdana"/>
          <w:sz w:val="20"/>
          <w:szCs w:val="20"/>
        </w:rPr>
        <w:t xml:space="preserve">SAP </w:t>
      </w:r>
      <w:r>
        <w:rPr>
          <w:rFonts w:ascii="Verdana" w:hAnsi="Verdana" w:cs="Verdana"/>
          <w:sz w:val="20"/>
          <w:szCs w:val="20"/>
        </w:rPr>
        <w:t xml:space="preserve">screenshots </w:t>
      </w:r>
      <w:r w:rsidR="008E363F">
        <w:rPr>
          <w:rFonts w:ascii="Verdana" w:hAnsi="Verdana" w:cs="Verdana"/>
          <w:sz w:val="20"/>
          <w:szCs w:val="20"/>
        </w:rPr>
        <w:t>(effective August 1)</w:t>
      </w:r>
      <w:r>
        <w:rPr>
          <w:rFonts w:ascii="Verdana" w:hAnsi="Verdana" w:cs="Verdana"/>
          <w:sz w:val="20"/>
          <w:szCs w:val="20"/>
        </w:rPr>
        <w:t xml:space="preserve"> based on </w:t>
      </w:r>
      <w:r w:rsidR="009E04D6">
        <w:rPr>
          <w:rFonts w:ascii="Verdana" w:hAnsi="Verdana" w:cs="Verdana"/>
          <w:sz w:val="20"/>
          <w:szCs w:val="20"/>
        </w:rPr>
        <w:t xml:space="preserve">various </w:t>
      </w:r>
      <w:r>
        <w:rPr>
          <w:rFonts w:ascii="Verdana" w:hAnsi="Verdana" w:cs="Verdana"/>
          <w:sz w:val="20"/>
          <w:szCs w:val="20"/>
        </w:rPr>
        <w:t>types of enrollments.</w:t>
      </w:r>
    </w:p>
    <w:p w:rsidR="00644E08" w:rsidRDefault="00644E08" w:rsidP="00644E08">
      <w:pPr>
        <w:rPr>
          <w:rFonts w:ascii="Verdana" w:hAnsi="Verdana" w:cs="Verdana"/>
          <w:b/>
          <w:sz w:val="20"/>
          <w:szCs w:val="20"/>
        </w:rPr>
      </w:pPr>
    </w:p>
    <w:p w:rsidR="008E363F" w:rsidRDefault="008E363F" w:rsidP="00644E08">
      <w:pPr>
        <w:rPr>
          <w:rFonts w:ascii="Verdana" w:hAnsi="Verdana" w:cs="Verdana"/>
          <w:b/>
          <w:sz w:val="20"/>
          <w:szCs w:val="20"/>
        </w:rPr>
      </w:pPr>
    </w:p>
    <w:p w:rsidR="00567A7D" w:rsidRDefault="00567A7D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  <w:u w:val="single"/>
        </w:rPr>
        <w:t>SCENARIO #1</w:t>
      </w:r>
      <w:r>
        <w:rPr>
          <w:rFonts w:ascii="Verdana" w:hAnsi="Verdana" w:cs="Verdana"/>
          <w:b/>
          <w:sz w:val="20"/>
          <w:szCs w:val="20"/>
        </w:rPr>
        <w:t xml:space="preserve"> – Employee is currently enrolled in Deferred Comp</w:t>
      </w:r>
      <w:r w:rsidR="009E04D6">
        <w:rPr>
          <w:rFonts w:ascii="Verdana" w:hAnsi="Verdana" w:cs="Verdana"/>
          <w:b/>
          <w:sz w:val="20"/>
          <w:szCs w:val="20"/>
        </w:rPr>
        <w:t>ensation</w:t>
      </w:r>
      <w:r>
        <w:rPr>
          <w:rFonts w:ascii="Verdana" w:hAnsi="Verdana" w:cs="Verdana"/>
          <w:b/>
          <w:sz w:val="20"/>
          <w:szCs w:val="20"/>
        </w:rPr>
        <w:t>.  Employee elects to change D</w:t>
      </w:r>
      <w:r w:rsidR="006801EB">
        <w:rPr>
          <w:rFonts w:ascii="Verdana" w:hAnsi="Verdana" w:cs="Verdana"/>
          <w:b/>
          <w:sz w:val="20"/>
          <w:szCs w:val="20"/>
        </w:rPr>
        <w:t>CMP</w:t>
      </w:r>
      <w:r>
        <w:rPr>
          <w:rFonts w:ascii="Verdana" w:hAnsi="Verdana" w:cs="Verdana"/>
          <w:b/>
          <w:sz w:val="20"/>
          <w:szCs w:val="20"/>
        </w:rPr>
        <w:t xml:space="preserve"> deduction to 10% and enroll in ROTH with a 75% contribution.  Employee is also eligible for the Age 50 </w:t>
      </w:r>
      <w:r w:rsidR="008E363F">
        <w:rPr>
          <w:rFonts w:ascii="Verdana" w:hAnsi="Verdana" w:cs="Verdana"/>
          <w:b/>
          <w:sz w:val="20"/>
          <w:szCs w:val="20"/>
        </w:rPr>
        <w:t>C</w:t>
      </w:r>
      <w:r>
        <w:rPr>
          <w:rFonts w:ascii="Verdana" w:hAnsi="Verdana" w:cs="Verdana"/>
          <w:b/>
          <w:sz w:val="20"/>
          <w:szCs w:val="20"/>
        </w:rPr>
        <w:t>atch-up.</w:t>
      </w:r>
      <w:r w:rsidR="009D3903">
        <w:rPr>
          <w:rFonts w:ascii="Verdana" w:hAnsi="Verdana" w:cs="Verdana"/>
          <w:b/>
          <w:sz w:val="20"/>
          <w:szCs w:val="20"/>
        </w:rPr>
        <w:t xml:space="preserve">  Deduction changes are received through the interface file to update SAP.</w:t>
      </w:r>
    </w:p>
    <w:p w:rsidR="00567A7D" w:rsidRPr="00567A7D" w:rsidRDefault="00567A7D" w:rsidP="00E56507">
      <w:pPr>
        <w:rPr>
          <w:rFonts w:ascii="Verdana" w:hAnsi="Verdana" w:cs="Verdana"/>
          <w:b/>
          <w:sz w:val="20"/>
          <w:szCs w:val="20"/>
        </w:rPr>
      </w:pPr>
    </w:p>
    <w:p w:rsidR="00023CA1" w:rsidRPr="003F0929" w:rsidRDefault="001223FC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138.75pt;margin-top:223.8pt;width:14.15pt;height:0;flip:x;z-index:251724800" o:connectortype="straight">
            <v:stroke endarrow="block"/>
          </v:shape>
        </w:pict>
      </w:r>
      <w:r w:rsidR="00023CA1" w:rsidRPr="00023CA1">
        <w:rPr>
          <w:rFonts w:ascii="Verdana" w:hAnsi="Verdana" w:cs="Verdana"/>
          <w:b/>
          <w:sz w:val="20"/>
          <w:szCs w:val="20"/>
        </w:rPr>
        <w:t xml:space="preserve">IT0169 </w:t>
      </w:r>
      <w:r w:rsidR="008E363F">
        <w:rPr>
          <w:rFonts w:ascii="Verdana" w:hAnsi="Verdana" w:cs="Verdana"/>
          <w:b/>
          <w:sz w:val="20"/>
          <w:szCs w:val="20"/>
        </w:rPr>
        <w:t xml:space="preserve">– </w:t>
      </w:r>
      <w:r w:rsidR="00023CA1" w:rsidRPr="00023CA1">
        <w:rPr>
          <w:rFonts w:ascii="Verdana" w:hAnsi="Verdana" w:cs="Verdana"/>
          <w:b/>
          <w:sz w:val="20"/>
          <w:szCs w:val="20"/>
        </w:rPr>
        <w:t>Savings Plan Overview</w:t>
      </w:r>
      <w:r w:rsidR="008E363F">
        <w:rPr>
          <w:rFonts w:ascii="Verdana" w:hAnsi="Verdana" w:cs="Verdana"/>
          <w:b/>
          <w:sz w:val="20"/>
          <w:szCs w:val="20"/>
        </w:rPr>
        <w:t>:</w:t>
      </w:r>
      <w:r w:rsidR="00023CA1" w:rsidRPr="003F0929">
        <w:rPr>
          <w:rFonts w:ascii="Verdana" w:hAnsi="Verdana" w:cs="Verdana"/>
          <w:sz w:val="20"/>
          <w:szCs w:val="20"/>
        </w:rPr>
        <w:t xml:space="preserve"> The </w:t>
      </w:r>
      <w:r w:rsidR="005D1AF0" w:rsidRPr="003F0929">
        <w:rPr>
          <w:rFonts w:ascii="Verdana" w:hAnsi="Verdana" w:cs="Verdana"/>
          <w:sz w:val="20"/>
          <w:szCs w:val="20"/>
        </w:rPr>
        <w:t>8/1/12</w:t>
      </w:r>
      <w:r w:rsidR="007870E6" w:rsidRPr="003F0929">
        <w:rPr>
          <w:rFonts w:ascii="Verdana" w:hAnsi="Verdana" w:cs="Verdana"/>
          <w:sz w:val="20"/>
          <w:szCs w:val="20"/>
        </w:rPr>
        <w:t xml:space="preserve"> record represents the conversion record from the old DEFR plan to the new DCMP plan.  The </w:t>
      </w:r>
      <w:r w:rsidR="005D1AF0" w:rsidRPr="003F0929">
        <w:rPr>
          <w:rFonts w:ascii="Verdana" w:hAnsi="Verdana" w:cs="Verdana"/>
          <w:sz w:val="20"/>
          <w:szCs w:val="20"/>
        </w:rPr>
        <w:t>8/5/12</w:t>
      </w:r>
      <w:r w:rsidR="00023CA1" w:rsidRPr="003F0929">
        <w:rPr>
          <w:rFonts w:ascii="Verdana" w:hAnsi="Verdana" w:cs="Verdana"/>
          <w:sz w:val="20"/>
          <w:szCs w:val="20"/>
        </w:rPr>
        <w:t xml:space="preserve"> records </w:t>
      </w:r>
      <w:r w:rsidR="007870E6" w:rsidRPr="003F0929">
        <w:rPr>
          <w:rFonts w:ascii="Verdana" w:hAnsi="Verdana" w:cs="Verdana"/>
          <w:sz w:val="20"/>
          <w:szCs w:val="20"/>
        </w:rPr>
        <w:t xml:space="preserve">reflect the </w:t>
      </w:r>
      <w:r w:rsidR="00C876DF" w:rsidRPr="003F0929">
        <w:rPr>
          <w:rFonts w:ascii="Verdana" w:hAnsi="Verdana" w:cs="Verdana"/>
          <w:sz w:val="20"/>
          <w:szCs w:val="20"/>
        </w:rPr>
        <w:t>records created</w:t>
      </w:r>
      <w:r w:rsidR="007870E6" w:rsidRPr="003F0929">
        <w:rPr>
          <w:rFonts w:ascii="Verdana" w:hAnsi="Verdana" w:cs="Verdana"/>
          <w:sz w:val="20"/>
          <w:szCs w:val="20"/>
        </w:rPr>
        <w:t xml:space="preserve"> as a result of the inbound interface file</w:t>
      </w:r>
      <w:r w:rsidR="005D1AF0" w:rsidRPr="003F0929">
        <w:rPr>
          <w:rFonts w:ascii="Verdana" w:hAnsi="Verdana" w:cs="Verdana"/>
          <w:sz w:val="20"/>
          <w:szCs w:val="20"/>
        </w:rPr>
        <w:t xml:space="preserve"> in which the employee changed their DCMP deduction and enrolled in ROTH</w:t>
      </w:r>
      <w:r w:rsidR="007870E6" w:rsidRPr="003F0929">
        <w:rPr>
          <w:rFonts w:ascii="Verdana" w:hAnsi="Verdana" w:cs="Verdana"/>
          <w:sz w:val="20"/>
          <w:szCs w:val="20"/>
        </w:rPr>
        <w:t xml:space="preserve">.  </w:t>
      </w: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5B4074" w:rsidRDefault="001223FC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pict>
          <v:shape id="_x0000_s1101" type="#_x0000_t32" style="position:absolute;margin-left:342.75pt;margin-top:185.3pt;width:40.95pt;height:21pt;flip:x y;z-index:251729920" o:connectortype="straight">
            <v:stroke startarrow="block" endarrow="block"/>
          </v:shape>
        </w:pict>
      </w:r>
      <w:r>
        <w:rPr>
          <w:rFonts w:ascii="Verdana" w:hAnsi="Verdana" w:cs="Verdana"/>
          <w:noProof/>
          <w:sz w:val="20"/>
          <w:szCs w:val="20"/>
        </w:rPr>
        <w:pict>
          <v:shape id="_x0000_s1102" type="#_x0000_t32" style="position:absolute;margin-left:354pt;margin-top:206.3pt;width:33.45pt;height:27pt;flip:x;z-index:251730944" o:connectortype="straight">
            <v:stroke startarrow="block" endarrow="block"/>
          </v:shape>
        </w:pict>
      </w:r>
      <w:r>
        <w:rPr>
          <w:rFonts w:ascii="Verdana" w:hAnsi="Verdana" w:cs="Verdana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387.45pt;margin-top:193.55pt;width:122.95pt;height:20.05pt;z-index:251726848;mso-width-relative:margin;mso-height-relative:margin" strokecolor="red">
            <v:textbox>
              <w:txbxContent>
                <w:p w:rsidR="00DC389B" w:rsidRPr="007870E6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Created by interface</w:t>
                  </w:r>
                </w:p>
              </w:txbxContent>
            </v:textbox>
          </v:shape>
        </w:pict>
      </w:r>
      <w:r>
        <w:rPr>
          <w:rFonts w:ascii="Verdana" w:hAnsi="Verdana" w:cs="Verdana"/>
          <w:noProof/>
          <w:sz w:val="20"/>
          <w:szCs w:val="20"/>
        </w:rPr>
        <w:pict>
          <v:rect id="_x0000_s1099" style="position:absolute;margin-left:15pt;margin-top:171.8pt;width:402.75pt;height:17.25pt;z-index:251727872" filled="f" strokecolor="red"/>
        </w:pict>
      </w:r>
      <w:r>
        <w:rPr>
          <w:rFonts w:ascii="Verdana" w:hAnsi="Verdana" w:cs="Verdana"/>
          <w:noProof/>
          <w:sz w:val="20"/>
          <w:szCs w:val="20"/>
        </w:rPr>
        <w:pict>
          <v:rect id="_x0000_s1100" style="position:absolute;margin-left:10.5pt;margin-top:226.55pt;width:402.75pt;height:15.75pt;z-index:251728896" filled="f" strokecolor="red"/>
        </w:pict>
      </w:r>
      <w:r w:rsidR="007870E6" w:rsidRPr="007870E6">
        <w:rPr>
          <w:rFonts w:ascii="Verdana" w:hAnsi="Verdana" w:cs="Verdana"/>
          <w:noProof/>
          <w:sz w:val="20"/>
          <w:szCs w:val="20"/>
        </w:rPr>
        <w:drawing>
          <wp:inline distT="0" distB="0" distL="0" distR="0">
            <wp:extent cx="6219825" cy="3438525"/>
            <wp:effectExtent l="19050" t="0" r="9525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813" cy="343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DF" w:rsidRDefault="00C876DF" w:rsidP="00E56507">
      <w:pPr>
        <w:rPr>
          <w:rFonts w:ascii="Verdana" w:hAnsi="Verdana" w:cs="Verdana"/>
          <w:b/>
          <w:sz w:val="20"/>
          <w:szCs w:val="20"/>
        </w:rPr>
      </w:pPr>
    </w:p>
    <w:p w:rsidR="007408AE" w:rsidRDefault="007408AE" w:rsidP="00E56507">
      <w:pPr>
        <w:rPr>
          <w:rFonts w:ascii="Verdana" w:hAnsi="Verdana" w:cs="Verdana"/>
          <w:b/>
          <w:sz w:val="20"/>
          <w:szCs w:val="20"/>
        </w:rPr>
      </w:pPr>
    </w:p>
    <w:p w:rsidR="007408AE" w:rsidRDefault="007408AE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0D2B4D" w:rsidRDefault="000D2B4D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br w:type="page"/>
      </w:r>
    </w:p>
    <w:p w:rsidR="00644E08" w:rsidRPr="003F0929" w:rsidRDefault="00644E08" w:rsidP="00644E08">
      <w:pPr>
        <w:rPr>
          <w:rFonts w:ascii="Verdana" w:hAnsi="Verdana" w:cs="Verdana"/>
          <w:sz w:val="20"/>
          <w:szCs w:val="20"/>
        </w:rPr>
      </w:pPr>
      <w:r w:rsidRPr="007408AE">
        <w:rPr>
          <w:rFonts w:ascii="Verdana" w:hAnsi="Verdana" w:cs="Verdana"/>
          <w:b/>
          <w:sz w:val="20"/>
          <w:szCs w:val="20"/>
        </w:rPr>
        <w:lastRenderedPageBreak/>
        <w:t>IT0169</w:t>
      </w:r>
      <w:r w:rsidR="008E363F">
        <w:rPr>
          <w:rFonts w:ascii="Verdana" w:hAnsi="Verdana" w:cs="Verdana"/>
          <w:b/>
          <w:sz w:val="20"/>
          <w:szCs w:val="20"/>
        </w:rPr>
        <w:t xml:space="preserve"> – </w:t>
      </w:r>
      <w:r w:rsidR="00744B96" w:rsidRPr="00023CA1">
        <w:rPr>
          <w:rFonts w:ascii="Verdana" w:hAnsi="Verdana" w:cs="Verdana"/>
          <w:b/>
          <w:sz w:val="20"/>
          <w:szCs w:val="20"/>
        </w:rPr>
        <w:t>Savings Plan</w:t>
      </w:r>
      <w:r w:rsidR="008E363F">
        <w:rPr>
          <w:rFonts w:ascii="Verdana" w:hAnsi="Verdana" w:cs="Verdana"/>
          <w:b/>
          <w:sz w:val="20"/>
          <w:szCs w:val="20"/>
        </w:rPr>
        <w:t xml:space="preserve">: </w:t>
      </w:r>
      <w:r w:rsidRPr="003F0929">
        <w:rPr>
          <w:rFonts w:ascii="Verdana" w:hAnsi="Verdana" w:cs="Verdana"/>
          <w:sz w:val="20"/>
          <w:szCs w:val="20"/>
        </w:rPr>
        <w:t xml:space="preserve">8/5/2012 </w:t>
      </w:r>
      <w:r w:rsidR="00EE63E0" w:rsidRPr="003F0929">
        <w:rPr>
          <w:rFonts w:ascii="Verdana" w:hAnsi="Verdana" w:cs="Verdana"/>
          <w:sz w:val="20"/>
          <w:szCs w:val="20"/>
        </w:rPr>
        <w:t xml:space="preserve">record </w:t>
      </w:r>
      <w:r w:rsidRPr="003F0929">
        <w:rPr>
          <w:rFonts w:ascii="Verdana" w:hAnsi="Verdana" w:cs="Verdana"/>
          <w:sz w:val="20"/>
          <w:szCs w:val="20"/>
        </w:rPr>
        <w:t>show</w:t>
      </w:r>
      <w:r w:rsidR="00431056">
        <w:rPr>
          <w:rFonts w:ascii="Verdana" w:hAnsi="Verdana" w:cs="Verdana"/>
          <w:sz w:val="20"/>
          <w:szCs w:val="20"/>
        </w:rPr>
        <w:t>s a</w:t>
      </w:r>
      <w:r w:rsidRPr="003F0929">
        <w:rPr>
          <w:rFonts w:ascii="Verdana" w:hAnsi="Verdana" w:cs="Verdana"/>
          <w:sz w:val="20"/>
          <w:szCs w:val="20"/>
        </w:rPr>
        <w:t xml:space="preserve"> 10% pre-tax contribution </w:t>
      </w:r>
      <w:r w:rsidR="00EE63E0" w:rsidRPr="003F0929">
        <w:rPr>
          <w:rFonts w:ascii="Verdana" w:hAnsi="Verdana" w:cs="Verdana"/>
          <w:sz w:val="20"/>
          <w:szCs w:val="20"/>
        </w:rPr>
        <w:t>in DCMP</w:t>
      </w:r>
      <w:r w:rsidR="008E363F">
        <w:rPr>
          <w:rFonts w:ascii="Verdana" w:hAnsi="Verdana" w:cs="Verdana"/>
          <w:sz w:val="20"/>
          <w:szCs w:val="20"/>
        </w:rPr>
        <w:t>.</w:t>
      </w:r>
      <w:r w:rsidR="00EE63E0" w:rsidRPr="003F0929">
        <w:rPr>
          <w:rFonts w:ascii="Verdana" w:hAnsi="Verdana" w:cs="Verdana"/>
          <w:sz w:val="20"/>
          <w:szCs w:val="20"/>
        </w:rPr>
        <w:t xml:space="preserve"> </w:t>
      </w:r>
    </w:p>
    <w:p w:rsidR="00644E08" w:rsidRPr="003F0929" w:rsidRDefault="00644E08" w:rsidP="00E56507">
      <w:pPr>
        <w:rPr>
          <w:rFonts w:ascii="Verdana" w:hAnsi="Verdana" w:cs="Verdana"/>
          <w:sz w:val="20"/>
          <w:szCs w:val="20"/>
        </w:rPr>
      </w:pPr>
    </w:p>
    <w:p w:rsidR="00644E08" w:rsidRDefault="001223FC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rect id="_x0000_s1026" style="position:absolute;margin-left:.75pt;margin-top:105.5pt;width:159.75pt;height:16.5pt;z-index:251658240" filled="f" strokecolor="red"/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083" style="position:absolute;margin-left:8.25pt;margin-top:165.5pt;width:164.25pt;height:37.5pt;z-index:251711488" filled="f" strokecolor="red"/>
        </w:pict>
      </w:r>
      <w:r w:rsidR="00644E08" w:rsidRPr="00644E08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5295900" cy="3541731"/>
            <wp:effectExtent l="19050" t="0" r="0" b="0"/>
            <wp:docPr id="1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226" cy="35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7408AE" w:rsidRPr="003F0929" w:rsidRDefault="007408AE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IT0169 </w:t>
      </w:r>
      <w:r w:rsidR="00644E08" w:rsidRPr="003F0929">
        <w:rPr>
          <w:rFonts w:ascii="Verdana" w:hAnsi="Verdana" w:cs="Verdana"/>
          <w:sz w:val="20"/>
          <w:szCs w:val="20"/>
        </w:rPr>
        <w:t xml:space="preserve">- </w:t>
      </w:r>
      <w:r w:rsidR="00744B96" w:rsidRPr="00023CA1">
        <w:rPr>
          <w:rFonts w:ascii="Verdana" w:hAnsi="Verdana" w:cs="Verdana"/>
          <w:b/>
          <w:sz w:val="20"/>
          <w:szCs w:val="20"/>
        </w:rPr>
        <w:t xml:space="preserve">Savings Plan </w:t>
      </w:r>
      <w:r w:rsidR="00744B96">
        <w:rPr>
          <w:rFonts w:ascii="Verdana" w:hAnsi="Verdana" w:cs="Verdana"/>
          <w:b/>
          <w:sz w:val="20"/>
          <w:szCs w:val="20"/>
        </w:rPr>
        <w:t xml:space="preserve">- </w:t>
      </w:r>
      <w:r w:rsidR="00EE63E0" w:rsidRPr="003F0929">
        <w:rPr>
          <w:rFonts w:ascii="Verdana" w:hAnsi="Verdana" w:cs="Verdana"/>
          <w:sz w:val="20"/>
          <w:szCs w:val="20"/>
        </w:rPr>
        <w:t xml:space="preserve">8/5/2012 record </w:t>
      </w:r>
      <w:r w:rsidRPr="003F0929">
        <w:rPr>
          <w:rFonts w:ascii="Verdana" w:hAnsi="Verdana" w:cs="Verdana"/>
          <w:sz w:val="20"/>
          <w:szCs w:val="20"/>
        </w:rPr>
        <w:t>show</w:t>
      </w:r>
      <w:r w:rsidR="00431056">
        <w:rPr>
          <w:rFonts w:ascii="Verdana" w:hAnsi="Verdana" w:cs="Verdana"/>
          <w:sz w:val="20"/>
          <w:szCs w:val="20"/>
        </w:rPr>
        <w:t>s</w:t>
      </w:r>
      <w:r w:rsidRPr="003F0929">
        <w:rPr>
          <w:rFonts w:ascii="Verdana" w:hAnsi="Verdana" w:cs="Verdana"/>
          <w:sz w:val="20"/>
          <w:szCs w:val="20"/>
        </w:rPr>
        <w:t xml:space="preserve"> 75% post-tax contribution in Roth 457</w:t>
      </w:r>
      <w:r w:rsidR="008E363F">
        <w:rPr>
          <w:rFonts w:ascii="Verdana" w:hAnsi="Verdana" w:cs="Verdana"/>
          <w:sz w:val="20"/>
          <w:szCs w:val="20"/>
        </w:rPr>
        <w:t>.</w:t>
      </w: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7408AE" w:rsidRDefault="001223FC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rect id="_x0000_s1084" style="position:absolute;margin-left:201pt;margin-top:150.95pt;width:156pt;height:36pt;z-index:251712512" filled="f" strokecolor="red"/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027" style="position:absolute;margin-left:.75pt;margin-top:98.2pt;width:138.75pt;height:18pt;z-index:251659264" filled="f" strokecolor="red"/>
        </w:pict>
      </w:r>
      <w:r w:rsidR="00C876DF" w:rsidRPr="00C876DF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5295900" cy="3181350"/>
            <wp:effectExtent l="19050" t="0" r="0" b="0"/>
            <wp:docPr id="1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289" cy="318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08" w:rsidRPr="003F0929" w:rsidRDefault="00644E08" w:rsidP="00644E08">
      <w:pPr>
        <w:rPr>
          <w:rFonts w:ascii="Verdana" w:hAnsi="Verdana" w:cs="Verdana"/>
          <w:sz w:val="20"/>
          <w:szCs w:val="20"/>
        </w:rPr>
      </w:pPr>
      <w:r w:rsidRPr="00644E08">
        <w:rPr>
          <w:rFonts w:ascii="Verdana" w:hAnsi="Verdana"/>
          <w:b/>
          <w:sz w:val="20"/>
          <w:szCs w:val="20"/>
        </w:rPr>
        <w:lastRenderedPageBreak/>
        <w:t>Period 18/2012</w:t>
      </w:r>
      <w:r w:rsidR="008E363F">
        <w:rPr>
          <w:rFonts w:ascii="Verdana" w:hAnsi="Verdana"/>
          <w:b/>
          <w:sz w:val="20"/>
          <w:szCs w:val="20"/>
        </w:rPr>
        <w:t>:</w:t>
      </w:r>
      <w:r w:rsidRPr="003F0929">
        <w:rPr>
          <w:rFonts w:ascii="Verdana" w:hAnsi="Verdana"/>
          <w:sz w:val="20"/>
          <w:szCs w:val="20"/>
        </w:rPr>
        <w:t xml:space="preserve"> First pay date with both DCMP and ROTH deductions </w:t>
      </w:r>
      <w:r w:rsidRPr="003F0929">
        <w:rPr>
          <w:rFonts w:ascii="Verdana" w:hAnsi="Verdana" w:cs="Verdana"/>
          <w:sz w:val="20"/>
          <w:szCs w:val="20"/>
        </w:rPr>
        <w:t xml:space="preserve">and reflects </w:t>
      </w:r>
      <w:proofErr w:type="gramStart"/>
      <w:r w:rsidRPr="003F0929">
        <w:rPr>
          <w:rFonts w:ascii="Verdana" w:hAnsi="Verdana" w:cs="Verdana"/>
          <w:sz w:val="20"/>
          <w:szCs w:val="20"/>
        </w:rPr>
        <w:t>a</w:t>
      </w:r>
      <w:proofErr w:type="gramEnd"/>
      <w:r w:rsidRPr="003F0929">
        <w:rPr>
          <w:rFonts w:ascii="Verdana" w:hAnsi="Verdana" w:cs="Verdana"/>
          <w:sz w:val="20"/>
          <w:szCs w:val="20"/>
        </w:rPr>
        <w:t xml:space="preserve"> $1144.96 (10%) DCMP deduction (WT 6E74) and $6013.44 (75%) </w:t>
      </w:r>
      <w:proofErr w:type="gramStart"/>
      <w:r w:rsidRPr="003F0929">
        <w:rPr>
          <w:rFonts w:ascii="Verdana" w:hAnsi="Verdana" w:cs="Verdana"/>
          <w:sz w:val="20"/>
          <w:szCs w:val="20"/>
        </w:rPr>
        <w:t>ROTH deduction (WT 6E68)</w:t>
      </w:r>
      <w:r w:rsidR="008E363F">
        <w:rPr>
          <w:rFonts w:ascii="Verdana" w:hAnsi="Verdana" w:cs="Verdana"/>
          <w:sz w:val="20"/>
          <w:szCs w:val="20"/>
        </w:rPr>
        <w:t>.</w:t>
      </w:r>
      <w:proofErr w:type="gramEnd"/>
    </w:p>
    <w:p w:rsidR="00644E08" w:rsidRPr="003F0929" w:rsidRDefault="00644E08" w:rsidP="00644E08">
      <w:pPr>
        <w:rPr>
          <w:rFonts w:ascii="Verdana" w:hAnsi="Verdana"/>
          <w:sz w:val="20"/>
          <w:szCs w:val="20"/>
        </w:rPr>
      </w:pPr>
    </w:p>
    <w:p w:rsidR="00C876DF" w:rsidRDefault="00C876DF" w:rsidP="00E56507">
      <w:pPr>
        <w:rPr>
          <w:rFonts w:ascii="Verdana" w:hAnsi="Verdana" w:cs="Verdana"/>
          <w:b/>
          <w:sz w:val="20"/>
          <w:szCs w:val="20"/>
        </w:rPr>
      </w:pPr>
    </w:p>
    <w:p w:rsidR="00C876DF" w:rsidRDefault="001223FC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shape id="_x0000_s1106" type="#_x0000_t32" style="position:absolute;margin-left:48pt;margin-top:495.75pt;width:76.35pt;height:1.5pt;flip:x y;z-index:251734016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shape id="_x0000_s1107" type="#_x0000_t32" style="position:absolute;margin-left:191.6pt;margin-top:497.25pt;width:19pt;height:0;z-index:251735040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  <w:lang w:eastAsia="zh-TW"/>
        </w:rPr>
        <w:pict>
          <v:shape id="_x0000_s1033" type="#_x0000_t202" style="position:absolute;margin-left:124.2pt;margin-top:485.6pt;width:67.4pt;height:20.1pt;z-index:251666432;mso-height-percent:200;mso-height-percent:200;mso-width-relative:margin;mso-height-relative:margin" strokecolor="red">
            <v:textbox style="mso-next-textbox:#_x0000_s1033;mso-fit-shape-to-text:t">
              <w:txbxContent>
                <w:p w:rsidR="00DC389B" w:rsidRPr="00275C24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WT</w:t>
                  </w:r>
                  <w:r w:rsidRPr="00275C24">
                    <w:rPr>
                      <w:rFonts w:ascii="Verdana" w:hAnsi="Verdana"/>
                      <w:sz w:val="20"/>
                      <w:szCs w:val="20"/>
                    </w:rPr>
                    <w:t xml:space="preserve"> 6E68</w:t>
                  </w:r>
                </w:p>
              </w:txbxContent>
            </v:textbox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shape id="_x0000_s1105" type="#_x0000_t32" style="position:absolute;margin-left:186pt;margin-top:462pt;width:24.75pt;height:0;z-index:251732992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shape id="_x0000_s1104" type="#_x0000_t32" style="position:absolute;margin-left:110.25pt;margin-top:461.25pt;width:13.35pt;height:.75pt;flip:x;z-index:251731968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  <w:lang w:eastAsia="zh-TW"/>
        </w:rPr>
        <w:pict>
          <v:shape id="_x0000_s1031" type="#_x0000_t202" style="position:absolute;margin-left:123.6pt;margin-top:450.95pt;width:62.4pt;height:19.5pt;z-index:251664384;mso-width-relative:margin;mso-height-relative:margin" strokecolor="red">
            <v:textbox style="mso-next-textbox:#_x0000_s1031">
              <w:txbxContent>
                <w:p w:rsidR="00DC389B" w:rsidRPr="00275C24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WT</w:t>
                  </w:r>
                  <w:r w:rsidRPr="00275C24">
                    <w:rPr>
                      <w:rFonts w:ascii="Verdana" w:hAnsi="Verdana"/>
                      <w:sz w:val="20"/>
                      <w:szCs w:val="20"/>
                    </w:rPr>
                    <w:t xml:space="preserve"> 6E74</w:t>
                  </w:r>
                </w:p>
              </w:txbxContent>
            </v:textbox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028" style="position:absolute;margin-left:3pt;margin-top:423pt;width:455.25pt;height:101.25pt;z-index:251660288" filled="f" strokecolor="red"/>
        </w:pict>
      </w:r>
      <w:r w:rsidR="00644E08" w:rsidRPr="00644E08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5829300" cy="6924501"/>
            <wp:effectExtent l="19050" t="0" r="0" b="0"/>
            <wp:docPr id="1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159" cy="692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08" w:rsidRPr="003F0929" w:rsidRDefault="003F0929" w:rsidP="00644E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IT0002 – Personal Data</w:t>
      </w:r>
      <w:r w:rsidR="008E363F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Emplo</w:t>
      </w:r>
      <w:r w:rsidR="00431056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>ee</w:t>
      </w:r>
      <w:r w:rsidR="00644E08" w:rsidRPr="003F0929">
        <w:rPr>
          <w:rFonts w:ascii="Verdana" w:hAnsi="Verdana"/>
          <w:sz w:val="20"/>
          <w:szCs w:val="20"/>
        </w:rPr>
        <w:t xml:space="preserve"> turned 50 in 2010 and </w:t>
      </w:r>
      <w:r w:rsidR="00567A7D" w:rsidRPr="003F0929">
        <w:rPr>
          <w:rFonts w:ascii="Verdana" w:hAnsi="Verdana"/>
          <w:sz w:val="20"/>
          <w:szCs w:val="20"/>
        </w:rPr>
        <w:t xml:space="preserve">as a result </w:t>
      </w:r>
      <w:r w:rsidR="00644E08" w:rsidRPr="003F0929">
        <w:rPr>
          <w:rFonts w:ascii="Verdana" w:hAnsi="Verdana"/>
          <w:sz w:val="20"/>
          <w:szCs w:val="20"/>
        </w:rPr>
        <w:t>is eligible</w:t>
      </w:r>
      <w:r>
        <w:rPr>
          <w:rFonts w:ascii="Verdana" w:hAnsi="Verdana"/>
          <w:sz w:val="20"/>
          <w:szCs w:val="20"/>
        </w:rPr>
        <w:t xml:space="preserve"> </w:t>
      </w:r>
      <w:r w:rsidR="00644E08" w:rsidRPr="003F0929">
        <w:rPr>
          <w:rFonts w:ascii="Verdana" w:hAnsi="Verdana"/>
          <w:sz w:val="20"/>
          <w:szCs w:val="20"/>
        </w:rPr>
        <w:t>for the Age 50 Catch-up for an additional $5</w:t>
      </w:r>
      <w:r w:rsidR="00F35590" w:rsidRPr="003F0929">
        <w:rPr>
          <w:rFonts w:ascii="Verdana" w:hAnsi="Verdana"/>
          <w:sz w:val="20"/>
          <w:szCs w:val="20"/>
        </w:rPr>
        <w:t>,</w:t>
      </w:r>
      <w:r w:rsidR="00644E08" w:rsidRPr="003F0929">
        <w:rPr>
          <w:rFonts w:ascii="Verdana" w:hAnsi="Verdana"/>
          <w:sz w:val="20"/>
          <w:szCs w:val="20"/>
        </w:rPr>
        <w:t xml:space="preserve">500 </w:t>
      </w:r>
      <w:r w:rsidR="00F35590" w:rsidRPr="003F0929">
        <w:rPr>
          <w:rFonts w:ascii="Verdana" w:hAnsi="Verdana"/>
          <w:sz w:val="20"/>
          <w:szCs w:val="20"/>
        </w:rPr>
        <w:t>for a maximum annual contribution of $22,500</w:t>
      </w:r>
      <w:r w:rsidR="00431056">
        <w:rPr>
          <w:rFonts w:ascii="Verdana" w:hAnsi="Verdana"/>
          <w:sz w:val="20"/>
          <w:szCs w:val="20"/>
        </w:rPr>
        <w:t xml:space="preserve"> in 2012</w:t>
      </w:r>
      <w:r w:rsidR="00F35590" w:rsidRPr="003F0929">
        <w:rPr>
          <w:rFonts w:ascii="Verdana" w:hAnsi="Verdana"/>
          <w:sz w:val="20"/>
          <w:szCs w:val="20"/>
        </w:rPr>
        <w:t>.</w:t>
      </w:r>
    </w:p>
    <w:p w:rsidR="00C876DF" w:rsidRDefault="00C876DF" w:rsidP="00E56507">
      <w:pPr>
        <w:rPr>
          <w:rFonts w:ascii="Verdana" w:hAnsi="Verdana" w:cs="Verdana"/>
          <w:b/>
          <w:sz w:val="20"/>
          <w:szCs w:val="20"/>
        </w:rPr>
      </w:pPr>
    </w:p>
    <w:p w:rsidR="00C876DF" w:rsidRDefault="001223FC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shape id="_x0000_s1192" type="#_x0000_t32" style="position:absolute;margin-left:162.75pt;margin-top:300.5pt;width:58.5pt;height:20.1pt;flip:x;z-index:251819008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91" style="position:absolute;margin-left:162.75pt;margin-top:274.85pt;width:183.75pt;height:25.65pt;z-index:251817984" strokecolor="red">
            <v:textbox>
              <w:txbxContent>
                <w:p w:rsidR="00DC389B" w:rsidRPr="00A634F4" w:rsidRDefault="00DC389B">
                  <w:pPr>
                    <w:rPr>
                      <w:rFonts w:ascii="Verdana" w:hAnsi="Verdana"/>
                    </w:rPr>
                  </w:pPr>
                  <w:r w:rsidRPr="00A634F4">
                    <w:rPr>
                      <w:rFonts w:ascii="Verdana" w:hAnsi="Verdana"/>
                    </w:rPr>
                    <w:t>Eligible for Age 50 catch-up</w:t>
                  </w:r>
                </w:p>
              </w:txbxContent>
            </v:textbox>
          </v:rect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08" style="position:absolute;margin-left:4.5pt;margin-top:313.25pt;width:150pt;height:17.25pt;z-index:251736064" filled="f" strokecolor="red"/>
        </w:pict>
      </w:r>
      <w:r w:rsidR="00F35590" w:rsidRPr="00F35590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5772150" cy="477202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DF" w:rsidRDefault="00C876DF" w:rsidP="00E56507">
      <w:pPr>
        <w:rPr>
          <w:rFonts w:ascii="Verdana" w:hAnsi="Verdana" w:cs="Verdana"/>
          <w:b/>
          <w:sz w:val="20"/>
          <w:szCs w:val="20"/>
        </w:rPr>
      </w:pPr>
    </w:p>
    <w:p w:rsidR="00C876DF" w:rsidRDefault="00C876DF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F35590" w:rsidRDefault="00F35590" w:rsidP="00F35590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Period 19/2012</w:t>
      </w:r>
      <w:r w:rsidR="008E363F">
        <w:rPr>
          <w:rFonts w:ascii="Verdana" w:hAnsi="Verdana" w:cs="Verdana"/>
          <w:b/>
          <w:sz w:val="20"/>
          <w:szCs w:val="20"/>
        </w:rPr>
        <w:t>:</w:t>
      </w:r>
      <w:r w:rsidR="00431056">
        <w:rPr>
          <w:rFonts w:ascii="Verdana" w:hAnsi="Verdana" w:cs="Verdana"/>
          <w:sz w:val="20"/>
          <w:szCs w:val="20"/>
        </w:rPr>
        <w:t xml:space="preserve"> R</w:t>
      </w:r>
      <w:r w:rsidRPr="003F0929">
        <w:rPr>
          <w:rFonts w:ascii="Verdana" w:hAnsi="Verdana" w:cs="Verdana"/>
          <w:sz w:val="20"/>
          <w:szCs w:val="20"/>
        </w:rPr>
        <w:t xml:space="preserve">eflects employee </w:t>
      </w:r>
      <w:r w:rsidR="00D25650" w:rsidRPr="003F0929">
        <w:rPr>
          <w:rFonts w:ascii="Verdana" w:hAnsi="Verdana" w:cs="Verdana"/>
          <w:sz w:val="20"/>
          <w:szCs w:val="20"/>
        </w:rPr>
        <w:t>reaching annual maximum of $17</w:t>
      </w:r>
      <w:r w:rsidR="00A36BE1">
        <w:rPr>
          <w:rFonts w:ascii="Verdana" w:hAnsi="Verdana" w:cs="Verdana"/>
          <w:sz w:val="20"/>
          <w:szCs w:val="20"/>
        </w:rPr>
        <w:t>,</w:t>
      </w:r>
      <w:r w:rsidR="00D25650" w:rsidRPr="003F0929">
        <w:rPr>
          <w:rFonts w:ascii="Verdana" w:hAnsi="Verdana" w:cs="Verdana"/>
          <w:sz w:val="20"/>
          <w:szCs w:val="20"/>
        </w:rPr>
        <w:t xml:space="preserve">000 for deferred compensation and Roth combined.  </w:t>
      </w:r>
      <w:r w:rsidR="00EE63E0" w:rsidRPr="003F0929">
        <w:rPr>
          <w:rFonts w:ascii="Verdana" w:hAnsi="Verdana" w:cs="Verdana"/>
          <w:sz w:val="20"/>
          <w:szCs w:val="20"/>
        </w:rPr>
        <w:t>Employee begi</w:t>
      </w:r>
      <w:r w:rsidR="00D25650" w:rsidRPr="003F0929">
        <w:rPr>
          <w:rFonts w:ascii="Verdana" w:hAnsi="Verdana" w:cs="Verdana"/>
          <w:sz w:val="20"/>
          <w:szCs w:val="20"/>
        </w:rPr>
        <w:t>n</w:t>
      </w:r>
      <w:r w:rsidR="00EE63E0" w:rsidRPr="003F0929">
        <w:rPr>
          <w:rFonts w:ascii="Verdana" w:hAnsi="Verdana" w:cs="Verdana"/>
          <w:sz w:val="20"/>
          <w:szCs w:val="20"/>
        </w:rPr>
        <w:t>s</w:t>
      </w:r>
      <w:r w:rsidR="00D25650" w:rsidRPr="003F0929">
        <w:rPr>
          <w:rFonts w:ascii="Verdana" w:hAnsi="Verdana" w:cs="Verdana"/>
          <w:sz w:val="20"/>
          <w:szCs w:val="20"/>
        </w:rPr>
        <w:t xml:space="preserve"> </w:t>
      </w:r>
      <w:r w:rsidRPr="003F0929">
        <w:rPr>
          <w:rFonts w:ascii="Verdana" w:hAnsi="Verdana" w:cs="Verdana"/>
          <w:sz w:val="20"/>
          <w:szCs w:val="20"/>
        </w:rPr>
        <w:t>contributing toward the additional $5</w:t>
      </w:r>
      <w:r w:rsidR="00A36BE1">
        <w:rPr>
          <w:rFonts w:ascii="Verdana" w:hAnsi="Verdana" w:cs="Verdana"/>
          <w:sz w:val="20"/>
          <w:szCs w:val="20"/>
        </w:rPr>
        <w:t>,</w:t>
      </w:r>
      <w:r w:rsidRPr="003F0929">
        <w:rPr>
          <w:rFonts w:ascii="Verdana" w:hAnsi="Verdana" w:cs="Verdana"/>
          <w:sz w:val="20"/>
          <w:szCs w:val="20"/>
        </w:rPr>
        <w:t xml:space="preserve">500 based </w:t>
      </w:r>
      <w:r w:rsidR="00EE63E0" w:rsidRPr="003F0929">
        <w:rPr>
          <w:rFonts w:ascii="Verdana" w:hAnsi="Verdana" w:cs="Verdana"/>
          <w:sz w:val="20"/>
          <w:szCs w:val="20"/>
        </w:rPr>
        <w:t>on eligibility</w:t>
      </w:r>
      <w:r w:rsidR="00431056">
        <w:rPr>
          <w:rFonts w:ascii="Verdana" w:hAnsi="Verdana" w:cs="Verdana"/>
          <w:sz w:val="20"/>
          <w:szCs w:val="20"/>
        </w:rPr>
        <w:t xml:space="preserve"> </w:t>
      </w:r>
      <w:r w:rsidR="00EE63E0" w:rsidRPr="003F0929">
        <w:rPr>
          <w:rFonts w:ascii="Verdana" w:hAnsi="Verdana" w:cs="Verdana"/>
          <w:sz w:val="20"/>
          <w:szCs w:val="20"/>
        </w:rPr>
        <w:t xml:space="preserve">for </w:t>
      </w:r>
      <w:r w:rsidRPr="003F0929">
        <w:rPr>
          <w:rFonts w:ascii="Verdana" w:hAnsi="Verdana" w:cs="Verdana"/>
          <w:sz w:val="20"/>
          <w:szCs w:val="20"/>
        </w:rPr>
        <w:t>Age 50 Catch-up.</w:t>
      </w:r>
      <w:r w:rsidR="00431056">
        <w:rPr>
          <w:rFonts w:ascii="Verdana" w:hAnsi="Verdana" w:cs="Verdana"/>
          <w:sz w:val="20"/>
          <w:szCs w:val="20"/>
        </w:rPr>
        <w:t xml:space="preserve">  No catch-up deduction was applied to the DCMP due to the fact that the regular deduction already equaled 10%.</w:t>
      </w:r>
    </w:p>
    <w:p w:rsidR="00F35590" w:rsidRDefault="00F35590" w:rsidP="00F35590">
      <w:pPr>
        <w:rPr>
          <w:rFonts w:ascii="Verdana" w:hAnsi="Verdana" w:cs="Verdana"/>
          <w:b/>
          <w:sz w:val="20"/>
          <w:szCs w:val="20"/>
        </w:rPr>
      </w:pPr>
    </w:p>
    <w:p w:rsidR="00F35590" w:rsidRPr="00F35590" w:rsidRDefault="001223FC" w:rsidP="00F35590">
      <w:pPr>
        <w:rPr>
          <w:rFonts w:ascii="Verdana" w:hAnsi="Verdana"/>
          <w:b/>
          <w:sz w:val="20"/>
          <w:szCs w:val="20"/>
        </w:rPr>
      </w:pPr>
      <w:r w:rsidRPr="001223FC">
        <w:rPr>
          <w:rFonts w:ascii="Verdana" w:hAnsi="Verdana" w:cs="Verdana"/>
          <w:b/>
          <w:noProof/>
          <w:sz w:val="20"/>
          <w:szCs w:val="20"/>
        </w:rPr>
        <w:pict>
          <v:shape id="_x0000_s1114" type="#_x0000_t32" style="position:absolute;margin-left:359.25pt;margin-top:492.2pt;width:8.25pt;height:10.85pt;flip:y;z-index:251742208" o:connectortype="straight">
            <v:stroke endarrow="block"/>
          </v:shape>
        </w:pict>
      </w:r>
      <w:r w:rsidRPr="001223FC">
        <w:rPr>
          <w:rFonts w:ascii="Verdana" w:hAnsi="Verdana" w:cs="Verdana"/>
          <w:b/>
          <w:noProof/>
          <w:sz w:val="20"/>
          <w:szCs w:val="20"/>
        </w:rPr>
        <w:pict>
          <v:rect id="_x0000_s1113" style="position:absolute;margin-left:239.25pt;margin-top:482.45pt;width:120.75pt;height:33pt;z-index:251741184" strokecolor="red">
            <v:textbox>
              <w:txbxContent>
                <w:p w:rsidR="00DC389B" w:rsidRPr="00F35590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35590">
                    <w:rPr>
                      <w:rFonts w:ascii="Verdana" w:hAnsi="Verdana"/>
                      <w:sz w:val="20"/>
                      <w:szCs w:val="20"/>
                    </w:rPr>
                    <w:t>Contributing towards additional $5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Pr="00F35590">
                    <w:rPr>
                      <w:rFonts w:ascii="Verdana" w:hAnsi="Verdana"/>
                      <w:sz w:val="20"/>
                      <w:szCs w:val="20"/>
                    </w:rPr>
                    <w:t>500</w:t>
                  </w:r>
                </w:p>
              </w:txbxContent>
            </v:textbox>
          </v:rect>
        </w:pict>
      </w:r>
      <w:r w:rsidRPr="001223FC">
        <w:rPr>
          <w:rFonts w:ascii="Verdana" w:hAnsi="Verdana" w:cs="Verdana"/>
          <w:b/>
          <w:noProof/>
          <w:sz w:val="20"/>
          <w:szCs w:val="20"/>
        </w:rPr>
        <w:pict>
          <v:shape id="_x0000_s1112" type="#_x0000_t32" style="position:absolute;margin-left:341.1pt;margin-top:461.15pt;width:12.15pt;height:15pt;z-index:251740160" o:connectortype="straight">
            <v:stroke startarrow="block" endarrow="block"/>
          </v:shape>
        </w:pict>
      </w:r>
      <w:r w:rsidRPr="001223FC">
        <w:rPr>
          <w:rFonts w:ascii="Verdana" w:hAnsi="Verdana" w:cs="Verdana"/>
          <w:b/>
          <w:noProof/>
          <w:sz w:val="20"/>
          <w:szCs w:val="20"/>
        </w:rPr>
        <w:pict>
          <v:shape id="_x0000_s1111" type="#_x0000_t32" style="position:absolute;margin-left:341.1pt;margin-top:449.45pt;width:18.9pt;height:11.7pt;flip:y;z-index:251739136" o:connectortype="straight">
            <v:stroke startarrow="block" endarrow="block"/>
          </v:shape>
        </w:pict>
      </w:r>
      <w:r w:rsidRPr="001223FC">
        <w:rPr>
          <w:rFonts w:ascii="Verdana" w:hAnsi="Verdana" w:cs="Verdana"/>
          <w:b/>
          <w:noProof/>
          <w:sz w:val="20"/>
          <w:szCs w:val="20"/>
          <w:lang w:eastAsia="zh-TW"/>
        </w:rPr>
        <w:pict>
          <v:shape id="_x0000_s1042" type="#_x0000_t202" style="position:absolute;margin-left:243.75pt;margin-top:443.9pt;width:97.35pt;height:32.25pt;z-index:251675648;mso-height-percent:200;mso-height-percent:200;mso-width-relative:margin;mso-height-relative:margin" strokecolor="red">
            <v:textbox style="mso-fit-shape-to-text:t">
              <w:txbxContent>
                <w:p w:rsidR="00DC389B" w:rsidRPr="00842FE6" w:rsidRDefault="00DC389B" w:rsidP="00842FE6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42FE6">
                    <w:rPr>
                      <w:rFonts w:ascii="Verdana" w:hAnsi="Verdana"/>
                      <w:sz w:val="20"/>
                      <w:szCs w:val="20"/>
                    </w:rPr>
                    <w:t>Deductions total $17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Pr="00842FE6">
                    <w:rPr>
                      <w:rFonts w:ascii="Verdana" w:hAnsi="Verdana"/>
                      <w:sz w:val="20"/>
                      <w:szCs w:val="20"/>
                    </w:rPr>
                    <w:t>000</w:t>
                  </w:r>
                </w:p>
              </w:txbxContent>
            </v:textbox>
          </v:shape>
        </w:pict>
      </w:r>
      <w:r w:rsidRPr="001223FC">
        <w:rPr>
          <w:rFonts w:ascii="Verdana" w:hAnsi="Verdana" w:cs="Verdana"/>
          <w:b/>
          <w:noProof/>
          <w:sz w:val="20"/>
          <w:szCs w:val="20"/>
        </w:rPr>
        <w:pict>
          <v:shape id="_x0000_s1110" type="#_x0000_t32" style="position:absolute;margin-left:168.75pt;margin-top:488.45pt;width:39pt;height:0;z-index:251738112" o:connectortype="straight">
            <v:stroke endarrow="block"/>
          </v:shape>
        </w:pict>
      </w:r>
      <w:r w:rsidRPr="001223FC">
        <w:rPr>
          <w:rFonts w:ascii="Verdana" w:hAnsi="Verdana" w:cs="Verdana"/>
          <w:b/>
          <w:noProof/>
          <w:sz w:val="20"/>
          <w:szCs w:val="20"/>
        </w:rPr>
        <w:pict>
          <v:rect id="_x0000_s1036" style="position:absolute;margin-left:105.75pt;margin-top:476.15pt;width:63pt;height:20.25pt;z-index:251669504" strokecolor="red">
            <v:textbox>
              <w:txbxContent>
                <w:p w:rsidR="00DC389B" w:rsidRPr="00841D0E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41D0E">
                    <w:rPr>
                      <w:rFonts w:ascii="Verdana" w:hAnsi="Verdana"/>
                      <w:sz w:val="20"/>
                      <w:szCs w:val="20"/>
                    </w:rPr>
                    <w:t>WT 6E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  <w:r w:rsidRPr="00841D0E">
                    <w:rPr>
                      <w:rFonts w:ascii="Verdana" w:hAnsi="Verdana"/>
                      <w:sz w:val="20"/>
                      <w:szCs w:val="20"/>
                    </w:rPr>
                    <w:t>C</w:t>
                  </w:r>
                </w:p>
              </w:txbxContent>
            </v:textbox>
          </v:rect>
        </w:pict>
      </w:r>
      <w:r w:rsidRPr="001223FC">
        <w:rPr>
          <w:rFonts w:ascii="Verdana" w:hAnsi="Verdana" w:cs="Verdana"/>
          <w:b/>
          <w:noProof/>
          <w:sz w:val="20"/>
          <w:szCs w:val="20"/>
        </w:rPr>
        <w:pict>
          <v:shape id="_x0000_s1109" type="#_x0000_t32" style="position:absolute;margin-left:84pt;margin-top:488.45pt;width:21.75pt;height:0;flip:x;z-index:251737088" o:connectortype="straight">
            <v:stroke endarrow="block"/>
          </v:shape>
        </w:pict>
      </w:r>
      <w:r w:rsidR="00F35590" w:rsidRPr="00F35590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586876" cy="681990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88" cy="682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650" w:rsidRPr="003F0929" w:rsidRDefault="003F0929" w:rsidP="00D256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Period 20/2012</w:t>
      </w:r>
      <w:r w:rsidR="001076FB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="00431056">
        <w:rPr>
          <w:rFonts w:ascii="Verdana" w:hAnsi="Verdana"/>
          <w:sz w:val="20"/>
          <w:szCs w:val="20"/>
        </w:rPr>
        <w:t>E</w:t>
      </w:r>
      <w:r w:rsidR="00D25650" w:rsidRPr="003F0929">
        <w:rPr>
          <w:rFonts w:ascii="Verdana" w:hAnsi="Verdana"/>
          <w:sz w:val="20"/>
          <w:szCs w:val="20"/>
        </w:rPr>
        <w:t>mployee reaches maximum of $22,500 and will not have any deductions for the remainder of 2012.</w:t>
      </w:r>
    </w:p>
    <w:p w:rsidR="00D25650" w:rsidRDefault="00D25650" w:rsidP="00D25650">
      <w:pPr>
        <w:rPr>
          <w:rFonts w:ascii="Verdana" w:hAnsi="Verdana"/>
          <w:b/>
          <w:sz w:val="20"/>
          <w:szCs w:val="20"/>
        </w:rPr>
      </w:pPr>
    </w:p>
    <w:p w:rsidR="00D25650" w:rsidRPr="00D25650" w:rsidRDefault="001223FC" w:rsidP="00D2565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rect id="_x0000_s1116" style="position:absolute;margin-left:273pt;margin-top:491.7pt;width:87pt;height:36pt;z-index:251743232" strokecolor="red">
            <v:textbox>
              <w:txbxContent>
                <w:p w:rsidR="00DC389B" w:rsidRPr="00D25650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D25650">
                    <w:rPr>
                      <w:rFonts w:ascii="Verdana" w:hAnsi="Verdana"/>
                      <w:sz w:val="20"/>
                      <w:szCs w:val="20"/>
                    </w:rPr>
                    <w:t>Contributions total $5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Pr="00D25650">
                    <w:rPr>
                      <w:rFonts w:ascii="Verdana" w:hAnsi="Verdana"/>
                      <w:sz w:val="20"/>
                      <w:szCs w:val="20"/>
                    </w:rPr>
                    <w:t>500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sz w:val="20"/>
          <w:szCs w:val="20"/>
        </w:rPr>
        <w:pict>
          <v:shape id="_x0000_s1118" type="#_x0000_t32" style="position:absolute;margin-left:5in;margin-top:509.7pt;width:22.5pt;height:18pt;z-index:251745280" o:connectortype="straight">
            <v:stroke endarrow="block"/>
          </v:shape>
        </w:pict>
      </w:r>
      <w:r>
        <w:rPr>
          <w:rFonts w:ascii="Verdana" w:hAnsi="Verdana"/>
          <w:b/>
          <w:noProof/>
          <w:sz w:val="20"/>
          <w:szCs w:val="20"/>
        </w:rPr>
        <w:pict>
          <v:shape id="_x0000_s1117" type="#_x0000_t32" style="position:absolute;margin-left:5in;margin-top:484.95pt;width:22.5pt;height:24.75pt;flip:y;z-index:251744256" o:connectortype="straight">
            <v:stroke endarrow="block"/>
          </v:shape>
        </w:pict>
      </w:r>
      <w:r w:rsidR="00D25650" w:rsidRPr="00D25650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943600" cy="7312429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C" w:rsidRPr="003F0929" w:rsidRDefault="0014246C" w:rsidP="005D1AF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Benefits Participation Overview</w:t>
      </w:r>
      <w:r w:rsidR="001076FB">
        <w:rPr>
          <w:rFonts w:ascii="Verdana" w:hAnsi="Verdana" w:cs="Verdana"/>
          <w:b/>
          <w:sz w:val="20"/>
          <w:szCs w:val="20"/>
        </w:rPr>
        <w:t>:</w:t>
      </w:r>
      <w:r w:rsidR="003F0929">
        <w:rPr>
          <w:rFonts w:ascii="Verdana" w:hAnsi="Verdana" w:cs="Verdana"/>
          <w:b/>
          <w:sz w:val="20"/>
          <w:szCs w:val="20"/>
        </w:rPr>
        <w:t xml:space="preserve"> </w:t>
      </w:r>
      <w:r w:rsidR="00A442BF">
        <w:rPr>
          <w:rFonts w:ascii="Verdana" w:hAnsi="Verdana" w:cs="Verdana"/>
          <w:sz w:val="20"/>
          <w:szCs w:val="20"/>
        </w:rPr>
        <w:t xml:space="preserve">The Roth 457 </w:t>
      </w:r>
      <w:r w:rsidR="009D3903">
        <w:rPr>
          <w:rFonts w:ascii="Verdana" w:hAnsi="Verdana" w:cs="Verdana"/>
          <w:sz w:val="20"/>
          <w:szCs w:val="20"/>
        </w:rPr>
        <w:t>is</w:t>
      </w:r>
      <w:r w:rsidRPr="003F0929">
        <w:rPr>
          <w:rFonts w:ascii="Verdana" w:hAnsi="Verdana" w:cs="Verdana"/>
          <w:sz w:val="20"/>
          <w:szCs w:val="20"/>
        </w:rPr>
        <w:t xml:space="preserve"> </w:t>
      </w:r>
      <w:r w:rsidR="00A442BF">
        <w:rPr>
          <w:rFonts w:ascii="Verdana" w:hAnsi="Verdana" w:cs="Verdana"/>
          <w:sz w:val="20"/>
          <w:szCs w:val="20"/>
        </w:rPr>
        <w:t xml:space="preserve">reflected on the Benefits Participation Overview showing </w:t>
      </w:r>
      <w:r w:rsidR="009D3903">
        <w:rPr>
          <w:rFonts w:ascii="Verdana" w:hAnsi="Verdana" w:cs="Verdana"/>
          <w:sz w:val="20"/>
          <w:szCs w:val="20"/>
        </w:rPr>
        <w:t xml:space="preserve">the applicable </w:t>
      </w:r>
      <w:r w:rsidRPr="003F0929">
        <w:rPr>
          <w:rFonts w:ascii="Verdana" w:hAnsi="Verdana" w:cs="Verdana"/>
          <w:sz w:val="20"/>
          <w:szCs w:val="20"/>
        </w:rPr>
        <w:t>deduction.</w:t>
      </w:r>
    </w:p>
    <w:p w:rsidR="0014246C" w:rsidRPr="003F0929" w:rsidRDefault="0014246C" w:rsidP="005D1AF0">
      <w:pPr>
        <w:rPr>
          <w:rFonts w:ascii="Verdana" w:hAnsi="Verdana" w:cs="Verdana"/>
          <w:sz w:val="20"/>
          <w:szCs w:val="20"/>
        </w:rPr>
      </w:pPr>
    </w:p>
    <w:p w:rsidR="0014246C" w:rsidRDefault="001223FC" w:rsidP="005D1AF0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shape id="_x0000_s1176" type="#_x0000_t32" style="position:absolute;margin-left:321.75pt;margin-top:164.45pt;width:62.25pt;height:34.55pt;flip:x;z-index:251801600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  <w:lang w:eastAsia="zh-TW"/>
        </w:rPr>
        <w:pict>
          <v:shape id="_x0000_s1175" type="#_x0000_t202" style="position:absolute;margin-left:311.45pt;margin-top:97.75pt;width:186.35pt;height:49.35pt;z-index:251800576;mso-width-percent:400;mso-height-percent:200;mso-width-percent:400;mso-height-percent:200;mso-width-relative:margin;mso-height-relative:margin" strokecolor="red">
            <v:textbox style="mso-fit-shape-to-text:t">
              <w:txbxContent>
                <w:p w:rsidR="00DC389B" w:rsidRPr="0013364A" w:rsidRDefault="00DC389B">
                  <w:pPr>
                    <w:rPr>
                      <w:rFonts w:ascii="Verdana" w:hAnsi="Verdana"/>
                    </w:rPr>
                  </w:pPr>
                  <w:r w:rsidRPr="0013364A">
                    <w:rPr>
                      <w:rFonts w:ascii="Verdana" w:hAnsi="Verdana"/>
                    </w:rPr>
                    <w:t>Participation Overview shows DCMP and ROTH 457 records with applicable deductions</w:t>
                  </w:r>
                </w:p>
              </w:txbxContent>
            </v:textbox>
          </v:shape>
        </w:pict>
      </w:r>
      <w:r w:rsidRPr="001223FC">
        <w:rPr>
          <w:noProof/>
          <w:color w:val="1F497D"/>
        </w:rPr>
        <w:pict>
          <v:rect id="_x0000_s1140" style="position:absolute;margin-left:7.5pt;margin-top:172.05pt;width:314.25pt;height:63pt;z-index:251767808" filled="f" strokecolor="red"/>
        </w:pict>
      </w:r>
      <w:r w:rsidR="0014246C">
        <w:rPr>
          <w:noProof/>
          <w:color w:val="1F497D"/>
        </w:rPr>
        <w:drawing>
          <wp:inline distT="0" distB="0" distL="0" distR="0">
            <wp:extent cx="5334000" cy="3505200"/>
            <wp:effectExtent l="19050" t="0" r="0" b="0"/>
            <wp:docPr id="3" name="Picture 1" descr="cid:image001.png@01CD5F6D.417A9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5F6D.417A9900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C" w:rsidRDefault="0014246C" w:rsidP="005D1AF0">
      <w:pPr>
        <w:rPr>
          <w:rFonts w:ascii="Verdana" w:hAnsi="Verdana" w:cs="Verdana"/>
          <w:b/>
          <w:sz w:val="20"/>
          <w:szCs w:val="20"/>
        </w:rPr>
      </w:pPr>
    </w:p>
    <w:p w:rsidR="0014246C" w:rsidRDefault="0014246C" w:rsidP="005D1AF0">
      <w:pPr>
        <w:rPr>
          <w:rFonts w:ascii="Verdana" w:hAnsi="Verdana" w:cs="Verdana"/>
          <w:b/>
          <w:sz w:val="20"/>
          <w:szCs w:val="20"/>
        </w:rPr>
      </w:pPr>
    </w:p>
    <w:p w:rsidR="0014246C" w:rsidRDefault="0014246C" w:rsidP="005D1AF0">
      <w:pPr>
        <w:rPr>
          <w:rFonts w:ascii="Verdana" w:hAnsi="Verdana" w:cs="Verdana"/>
          <w:b/>
          <w:sz w:val="20"/>
          <w:szCs w:val="20"/>
        </w:rPr>
      </w:pPr>
    </w:p>
    <w:p w:rsidR="0014246C" w:rsidRDefault="0014246C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F545A5" w:rsidRDefault="00F545A5" w:rsidP="005D1AF0">
      <w:pPr>
        <w:rPr>
          <w:rFonts w:ascii="Verdana" w:hAnsi="Verdana" w:cs="Verdana"/>
          <w:b/>
          <w:sz w:val="20"/>
          <w:szCs w:val="20"/>
        </w:rPr>
      </w:pPr>
    </w:p>
    <w:p w:rsidR="00567A7D" w:rsidRDefault="00567A7D" w:rsidP="00567A7D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  <w:u w:val="single"/>
        </w:rPr>
        <w:lastRenderedPageBreak/>
        <w:t>SCENARIO #</w:t>
      </w:r>
      <w:r w:rsidR="003F0929">
        <w:rPr>
          <w:rFonts w:ascii="Verdana" w:hAnsi="Verdana" w:cs="Verdana"/>
          <w:b/>
          <w:sz w:val="20"/>
          <w:szCs w:val="20"/>
          <w:u w:val="single"/>
        </w:rPr>
        <w:t>2</w:t>
      </w:r>
      <w:r>
        <w:rPr>
          <w:rFonts w:ascii="Verdana" w:hAnsi="Verdana" w:cs="Verdana"/>
          <w:b/>
          <w:sz w:val="20"/>
          <w:szCs w:val="20"/>
        </w:rPr>
        <w:t xml:space="preserve"> – Employee is currently enrolled in Deferred Comp</w:t>
      </w:r>
      <w:r w:rsidR="003F0929">
        <w:rPr>
          <w:rFonts w:ascii="Verdana" w:hAnsi="Verdana" w:cs="Verdana"/>
          <w:b/>
          <w:sz w:val="20"/>
          <w:szCs w:val="20"/>
        </w:rPr>
        <w:t>ensation</w:t>
      </w:r>
      <w:r>
        <w:rPr>
          <w:rFonts w:ascii="Verdana" w:hAnsi="Verdana" w:cs="Verdana"/>
          <w:b/>
          <w:sz w:val="20"/>
          <w:szCs w:val="20"/>
        </w:rPr>
        <w:t xml:space="preserve">.  Employee </w:t>
      </w:r>
      <w:r w:rsidR="003F0929">
        <w:rPr>
          <w:rFonts w:ascii="Verdana" w:hAnsi="Verdana" w:cs="Verdana"/>
          <w:b/>
          <w:sz w:val="20"/>
          <w:szCs w:val="20"/>
        </w:rPr>
        <w:t xml:space="preserve">has </w:t>
      </w:r>
      <w:r>
        <w:rPr>
          <w:rFonts w:ascii="Verdana" w:hAnsi="Verdana" w:cs="Verdana"/>
          <w:b/>
          <w:sz w:val="20"/>
          <w:szCs w:val="20"/>
        </w:rPr>
        <w:t>elect</w:t>
      </w:r>
      <w:r w:rsidR="003F0929">
        <w:rPr>
          <w:rFonts w:ascii="Verdana" w:hAnsi="Verdana" w:cs="Verdana"/>
          <w:b/>
          <w:sz w:val="20"/>
          <w:szCs w:val="20"/>
        </w:rPr>
        <w:t xml:space="preserve">ed the special catch-up and has </w:t>
      </w:r>
      <w:r>
        <w:rPr>
          <w:rFonts w:ascii="Verdana" w:hAnsi="Verdana" w:cs="Verdana"/>
          <w:b/>
          <w:sz w:val="20"/>
          <w:szCs w:val="20"/>
        </w:rPr>
        <w:t>change</w:t>
      </w:r>
      <w:r w:rsidR="003F0929">
        <w:rPr>
          <w:rFonts w:ascii="Verdana" w:hAnsi="Verdana" w:cs="Verdana"/>
          <w:b/>
          <w:sz w:val="20"/>
          <w:szCs w:val="20"/>
        </w:rPr>
        <w:t>d the</w:t>
      </w:r>
      <w:r>
        <w:rPr>
          <w:rFonts w:ascii="Verdana" w:hAnsi="Verdana" w:cs="Verdana"/>
          <w:b/>
          <w:sz w:val="20"/>
          <w:szCs w:val="20"/>
        </w:rPr>
        <w:t xml:space="preserve"> DCMP deduction to $900 and enroll</w:t>
      </w:r>
      <w:r w:rsidR="003F0929">
        <w:rPr>
          <w:rFonts w:ascii="Verdana" w:hAnsi="Verdana" w:cs="Verdana"/>
          <w:b/>
          <w:sz w:val="20"/>
          <w:szCs w:val="20"/>
        </w:rPr>
        <w:t>ed</w:t>
      </w:r>
      <w:r>
        <w:rPr>
          <w:rFonts w:ascii="Verdana" w:hAnsi="Verdana" w:cs="Verdana"/>
          <w:b/>
          <w:sz w:val="20"/>
          <w:szCs w:val="20"/>
        </w:rPr>
        <w:t xml:space="preserve"> in ROTH with a </w:t>
      </w:r>
      <w:r w:rsidR="003F0929">
        <w:rPr>
          <w:rFonts w:ascii="Verdana" w:hAnsi="Verdana" w:cs="Verdana"/>
          <w:b/>
          <w:sz w:val="20"/>
          <w:szCs w:val="20"/>
        </w:rPr>
        <w:t>$4</w:t>
      </w:r>
      <w:r w:rsidR="001076FB">
        <w:rPr>
          <w:rFonts w:ascii="Verdana" w:hAnsi="Verdana" w:cs="Verdana"/>
          <w:b/>
          <w:sz w:val="20"/>
          <w:szCs w:val="20"/>
        </w:rPr>
        <w:t>,</w:t>
      </w:r>
      <w:r w:rsidR="003F0929">
        <w:rPr>
          <w:rFonts w:ascii="Verdana" w:hAnsi="Verdana" w:cs="Verdana"/>
          <w:b/>
          <w:sz w:val="20"/>
          <w:szCs w:val="20"/>
        </w:rPr>
        <w:t>000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3F0929">
        <w:rPr>
          <w:rFonts w:ascii="Verdana" w:hAnsi="Verdana" w:cs="Verdana"/>
          <w:b/>
          <w:sz w:val="20"/>
          <w:szCs w:val="20"/>
        </w:rPr>
        <w:t>deduction</w:t>
      </w:r>
      <w:r>
        <w:rPr>
          <w:rFonts w:ascii="Verdana" w:hAnsi="Verdana" w:cs="Verdana"/>
          <w:b/>
          <w:sz w:val="20"/>
          <w:szCs w:val="20"/>
        </w:rPr>
        <w:t xml:space="preserve">.  </w:t>
      </w:r>
      <w:r w:rsidR="009D3903">
        <w:rPr>
          <w:rFonts w:ascii="Verdana" w:hAnsi="Verdana" w:cs="Verdana"/>
          <w:b/>
          <w:sz w:val="20"/>
          <w:szCs w:val="20"/>
        </w:rPr>
        <w:t>Deduction changes are received through the interface file to update SAP.</w:t>
      </w:r>
    </w:p>
    <w:p w:rsidR="00567A7D" w:rsidRDefault="00567A7D" w:rsidP="005D1AF0">
      <w:pPr>
        <w:rPr>
          <w:rFonts w:ascii="Verdana" w:hAnsi="Verdana" w:cs="Verdana"/>
          <w:b/>
          <w:sz w:val="20"/>
          <w:szCs w:val="20"/>
        </w:rPr>
      </w:pPr>
    </w:p>
    <w:p w:rsidR="001076FB" w:rsidRDefault="001076FB" w:rsidP="005D1AF0">
      <w:pPr>
        <w:rPr>
          <w:rFonts w:ascii="Verdana" w:hAnsi="Verdana" w:cs="Verdana"/>
          <w:b/>
          <w:sz w:val="20"/>
          <w:szCs w:val="20"/>
        </w:rPr>
      </w:pPr>
    </w:p>
    <w:p w:rsidR="005D1AF0" w:rsidRDefault="005D1AF0" w:rsidP="005D1AF0">
      <w:pPr>
        <w:rPr>
          <w:rFonts w:ascii="Verdana" w:hAnsi="Verdana" w:cs="Verdana"/>
          <w:sz w:val="20"/>
          <w:szCs w:val="20"/>
        </w:rPr>
      </w:pPr>
      <w:r w:rsidRPr="00023CA1">
        <w:rPr>
          <w:rFonts w:ascii="Verdana" w:hAnsi="Verdana" w:cs="Verdana"/>
          <w:b/>
          <w:sz w:val="20"/>
          <w:szCs w:val="20"/>
        </w:rPr>
        <w:t xml:space="preserve">IT0169 </w:t>
      </w:r>
      <w:r w:rsidR="001076FB">
        <w:rPr>
          <w:rFonts w:ascii="Verdana" w:hAnsi="Verdana" w:cs="Verdana"/>
          <w:b/>
          <w:sz w:val="20"/>
          <w:szCs w:val="20"/>
        </w:rPr>
        <w:t xml:space="preserve">– </w:t>
      </w:r>
      <w:r w:rsidRPr="00023CA1">
        <w:rPr>
          <w:rFonts w:ascii="Verdana" w:hAnsi="Verdana" w:cs="Verdana"/>
          <w:b/>
          <w:sz w:val="20"/>
          <w:szCs w:val="20"/>
        </w:rPr>
        <w:t>Savings</w:t>
      </w:r>
      <w:r w:rsidR="001076FB">
        <w:rPr>
          <w:rFonts w:ascii="Verdana" w:hAnsi="Verdana" w:cs="Verdana"/>
          <w:b/>
          <w:sz w:val="20"/>
          <w:szCs w:val="20"/>
        </w:rPr>
        <w:t xml:space="preserve"> </w:t>
      </w:r>
      <w:r w:rsidRPr="00023CA1">
        <w:rPr>
          <w:rFonts w:ascii="Verdana" w:hAnsi="Verdana" w:cs="Verdana"/>
          <w:b/>
          <w:sz w:val="20"/>
          <w:szCs w:val="20"/>
        </w:rPr>
        <w:t>Plan Overview</w:t>
      </w:r>
      <w:r w:rsidR="001076FB">
        <w:rPr>
          <w:rFonts w:ascii="Verdana" w:hAnsi="Verdana" w:cs="Verdana"/>
          <w:b/>
          <w:sz w:val="20"/>
          <w:szCs w:val="20"/>
        </w:rPr>
        <w:t>:</w:t>
      </w:r>
      <w:r w:rsidRPr="00023CA1">
        <w:rPr>
          <w:rFonts w:ascii="Verdana" w:hAnsi="Verdana" w:cs="Verdana"/>
          <w:b/>
          <w:sz w:val="20"/>
          <w:szCs w:val="20"/>
        </w:rPr>
        <w:t xml:space="preserve"> </w:t>
      </w:r>
      <w:r w:rsidRPr="003F0929">
        <w:rPr>
          <w:rFonts w:ascii="Verdana" w:hAnsi="Verdana" w:cs="Verdana"/>
          <w:sz w:val="20"/>
          <w:szCs w:val="20"/>
        </w:rPr>
        <w:t xml:space="preserve">The 8/1/2012 record represents the conversion record from the old DEFR plan to the new DCMP plan.  The 8/11/12 records reflect the records created as a result of the inbound interface file in which the employee has elected the Special Catch-up and has changed their DCMP deduction and enrolled in ROTH.  </w:t>
      </w:r>
    </w:p>
    <w:p w:rsidR="001076FB" w:rsidRPr="003F0929" w:rsidRDefault="001076FB" w:rsidP="005D1AF0">
      <w:pPr>
        <w:rPr>
          <w:rFonts w:ascii="Verdana" w:hAnsi="Verdana" w:cs="Verdana"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7532D5" w:rsidRDefault="001223FC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shape id="_x0000_s1123" type="#_x0000_t32" style="position:absolute;margin-left:339.75pt;margin-top:159.05pt;width:47.7pt;height:48.05pt;flip:x y;z-index:251750400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shape id="_x0000_s1124" type="#_x0000_t32" style="position:absolute;margin-left:351pt;margin-top:227.25pt;width:36.45pt;height:70.55pt;flip:x;z-index:251751424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  <w:lang w:eastAsia="zh-TW"/>
        </w:rPr>
        <w:pict>
          <v:shape id="_x0000_s1122" type="#_x0000_t202" style="position:absolute;margin-left:369.75pt;margin-top:206.7pt;width:125.25pt;height:20.1pt;z-index:251749376;mso-height-percent:200;mso-height-percent:200;mso-width-relative:margin;mso-height-relative:margin" strokecolor="red">
            <v:textbox style="mso-fit-shape-to-text:t">
              <w:txbxContent>
                <w:p w:rsidR="00DC389B" w:rsidRPr="007532D5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532D5">
                    <w:rPr>
                      <w:rFonts w:ascii="Verdana" w:hAnsi="Verdana"/>
                      <w:sz w:val="20"/>
                      <w:szCs w:val="20"/>
                    </w:rPr>
                    <w:t xml:space="preserve">Created by interface </w:t>
                  </w:r>
                </w:p>
              </w:txbxContent>
            </v:textbox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21" style="position:absolute;margin-left:13.5pt;margin-top:289.55pt;width:343.9pt;height:15.75pt;z-index:251747328" filled="f" strokecolor="red"/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20" style="position:absolute;margin-left:13.5pt;margin-top:147.05pt;width:343.9pt;height:15.75pt;z-index:251746304" filled="f" strokecolor="red"/>
        </w:pict>
      </w:r>
      <w:r w:rsidR="007532D5" w:rsidRPr="007532D5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5305425" cy="3924300"/>
            <wp:effectExtent l="1905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7532D5" w:rsidRDefault="007532D5" w:rsidP="00E56507">
      <w:pPr>
        <w:rPr>
          <w:rFonts w:ascii="Verdana" w:hAnsi="Verdana" w:cs="Verdana"/>
          <w:b/>
          <w:sz w:val="20"/>
          <w:szCs w:val="20"/>
        </w:rPr>
      </w:pPr>
    </w:p>
    <w:p w:rsidR="007532D5" w:rsidRDefault="007532D5" w:rsidP="00E56507">
      <w:pPr>
        <w:rPr>
          <w:rFonts w:ascii="Verdana" w:hAnsi="Verdana" w:cs="Verdana"/>
          <w:b/>
          <w:sz w:val="20"/>
          <w:szCs w:val="20"/>
        </w:rPr>
      </w:pPr>
    </w:p>
    <w:p w:rsidR="007532D5" w:rsidRDefault="007532D5" w:rsidP="00E56507">
      <w:pPr>
        <w:rPr>
          <w:rFonts w:ascii="Verdana" w:hAnsi="Verdana" w:cs="Verdana"/>
          <w:b/>
          <w:sz w:val="20"/>
          <w:szCs w:val="20"/>
        </w:rPr>
      </w:pPr>
    </w:p>
    <w:p w:rsidR="007532D5" w:rsidRDefault="007532D5" w:rsidP="00E56507">
      <w:pPr>
        <w:rPr>
          <w:rFonts w:ascii="Verdana" w:hAnsi="Verdana" w:cs="Verdana"/>
          <w:b/>
          <w:sz w:val="20"/>
          <w:szCs w:val="20"/>
        </w:rPr>
      </w:pPr>
    </w:p>
    <w:p w:rsidR="007532D5" w:rsidRDefault="007532D5" w:rsidP="00E56507">
      <w:pPr>
        <w:rPr>
          <w:rFonts w:ascii="Verdana" w:hAnsi="Verdana" w:cs="Verdana"/>
          <w:b/>
          <w:sz w:val="20"/>
          <w:szCs w:val="20"/>
        </w:rPr>
      </w:pPr>
    </w:p>
    <w:p w:rsidR="007532D5" w:rsidRDefault="007532D5" w:rsidP="00E56507">
      <w:pPr>
        <w:rPr>
          <w:rFonts w:ascii="Verdana" w:hAnsi="Verdana" w:cs="Verdana"/>
          <w:b/>
          <w:sz w:val="20"/>
          <w:szCs w:val="20"/>
        </w:rPr>
      </w:pPr>
    </w:p>
    <w:p w:rsidR="007532D5" w:rsidRDefault="007532D5" w:rsidP="00E56507">
      <w:pPr>
        <w:rPr>
          <w:rFonts w:ascii="Verdana" w:hAnsi="Verdana" w:cs="Verdana"/>
          <w:b/>
          <w:sz w:val="20"/>
          <w:szCs w:val="20"/>
        </w:rPr>
      </w:pPr>
    </w:p>
    <w:p w:rsidR="007532D5" w:rsidRDefault="007532D5" w:rsidP="00E56507">
      <w:pPr>
        <w:rPr>
          <w:rFonts w:ascii="Verdana" w:hAnsi="Verdana" w:cs="Verdana"/>
          <w:b/>
          <w:sz w:val="20"/>
          <w:szCs w:val="20"/>
        </w:rPr>
      </w:pPr>
    </w:p>
    <w:p w:rsidR="007532D5" w:rsidRDefault="007532D5" w:rsidP="00E56507">
      <w:pPr>
        <w:rPr>
          <w:rFonts w:ascii="Verdana" w:hAnsi="Verdana" w:cs="Verdana"/>
          <w:b/>
          <w:sz w:val="20"/>
          <w:szCs w:val="20"/>
        </w:rPr>
      </w:pPr>
    </w:p>
    <w:p w:rsidR="007532D5" w:rsidRDefault="007532D5" w:rsidP="00E56507">
      <w:pPr>
        <w:rPr>
          <w:rFonts w:ascii="Verdana" w:hAnsi="Verdana" w:cs="Verdana"/>
          <w:b/>
          <w:sz w:val="20"/>
          <w:szCs w:val="20"/>
        </w:rPr>
      </w:pPr>
    </w:p>
    <w:p w:rsidR="007532D5" w:rsidRDefault="007532D5" w:rsidP="007532D5">
      <w:pPr>
        <w:rPr>
          <w:rFonts w:ascii="Verdana" w:hAnsi="Verdana" w:cs="Verdana"/>
          <w:b/>
          <w:sz w:val="20"/>
          <w:szCs w:val="20"/>
        </w:rPr>
      </w:pPr>
      <w:r w:rsidRPr="007408AE">
        <w:rPr>
          <w:rFonts w:ascii="Verdana" w:hAnsi="Verdana" w:cs="Verdana"/>
          <w:b/>
          <w:sz w:val="20"/>
          <w:szCs w:val="20"/>
        </w:rPr>
        <w:lastRenderedPageBreak/>
        <w:t>IT0169</w:t>
      </w:r>
      <w:r w:rsidR="001076FB">
        <w:rPr>
          <w:rFonts w:ascii="Verdana" w:hAnsi="Verdana" w:cs="Verdana"/>
          <w:b/>
          <w:sz w:val="20"/>
          <w:szCs w:val="20"/>
        </w:rPr>
        <w:t xml:space="preserve"> – </w:t>
      </w:r>
      <w:r w:rsidR="00744B96" w:rsidRPr="00023CA1">
        <w:rPr>
          <w:rFonts w:ascii="Verdana" w:hAnsi="Verdana" w:cs="Verdana"/>
          <w:b/>
          <w:sz w:val="20"/>
          <w:szCs w:val="20"/>
        </w:rPr>
        <w:t>Savings Plan</w:t>
      </w:r>
      <w:r w:rsidR="001076FB"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3F0929">
        <w:rPr>
          <w:rFonts w:ascii="Verdana" w:hAnsi="Verdana" w:cs="Verdana"/>
          <w:sz w:val="20"/>
          <w:szCs w:val="20"/>
        </w:rPr>
        <w:t>8/11/2012 record showing $900 pre-tax contribution in DCMP</w:t>
      </w:r>
      <w:r w:rsidR="001076FB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b/>
          <w:sz w:val="20"/>
          <w:szCs w:val="20"/>
        </w:rPr>
        <w:t xml:space="preserve"> </w:t>
      </w:r>
    </w:p>
    <w:p w:rsidR="007532D5" w:rsidRDefault="007532D5" w:rsidP="00E56507">
      <w:pPr>
        <w:rPr>
          <w:rFonts w:ascii="Verdana" w:hAnsi="Verdana" w:cs="Verdana"/>
          <w:b/>
          <w:sz w:val="20"/>
          <w:szCs w:val="20"/>
        </w:rPr>
      </w:pPr>
    </w:p>
    <w:p w:rsidR="00644E08" w:rsidRDefault="001223FC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rect id="_x0000_s1126" style="position:absolute;margin-left:9.75pt;margin-top:182.9pt;width:182.25pt;height:30.75pt;z-index:251753472" filled="f" strokecolor="red"/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25" style="position:absolute;margin-left:4.5pt;margin-top:111.65pt;width:170.25pt;height:26.25pt;z-index:251752448" filled="f" strokecolor="red"/>
        </w:pict>
      </w:r>
      <w:r w:rsidR="007532D5" w:rsidRPr="007532D5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5505450" cy="3417362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483" cy="341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08" w:rsidRDefault="00644E08" w:rsidP="00E56507">
      <w:pPr>
        <w:rPr>
          <w:rFonts w:ascii="Verdana" w:hAnsi="Verdana" w:cs="Verdana"/>
          <w:b/>
          <w:sz w:val="20"/>
          <w:szCs w:val="20"/>
        </w:rPr>
      </w:pPr>
    </w:p>
    <w:p w:rsidR="007532D5" w:rsidRDefault="007532D5" w:rsidP="007532D5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IT0169</w:t>
      </w:r>
      <w:r w:rsidR="001076FB">
        <w:rPr>
          <w:rFonts w:ascii="Verdana" w:hAnsi="Verdana" w:cs="Verdana"/>
          <w:b/>
          <w:sz w:val="20"/>
          <w:szCs w:val="20"/>
        </w:rPr>
        <w:t xml:space="preserve"> – </w:t>
      </w:r>
      <w:r w:rsidR="00744B96" w:rsidRPr="00023CA1">
        <w:rPr>
          <w:rFonts w:ascii="Verdana" w:hAnsi="Verdana" w:cs="Verdana"/>
          <w:b/>
          <w:sz w:val="20"/>
          <w:szCs w:val="20"/>
        </w:rPr>
        <w:t>Savings Plan</w:t>
      </w:r>
      <w:r w:rsidR="001076FB"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3F0929">
        <w:rPr>
          <w:rFonts w:ascii="Verdana" w:hAnsi="Verdana" w:cs="Verdana"/>
          <w:sz w:val="20"/>
          <w:szCs w:val="20"/>
        </w:rPr>
        <w:t>8/11/2012 record showing $4</w:t>
      </w:r>
      <w:r w:rsidR="00A36BE1">
        <w:rPr>
          <w:rFonts w:ascii="Verdana" w:hAnsi="Verdana" w:cs="Verdana"/>
          <w:sz w:val="20"/>
          <w:szCs w:val="20"/>
        </w:rPr>
        <w:t>,</w:t>
      </w:r>
      <w:r w:rsidRPr="003F0929">
        <w:rPr>
          <w:rFonts w:ascii="Verdana" w:hAnsi="Verdana" w:cs="Verdana"/>
          <w:sz w:val="20"/>
          <w:szCs w:val="20"/>
        </w:rPr>
        <w:t>000 post-tax contribution in Roth 457</w:t>
      </w:r>
      <w:r w:rsidR="001076FB">
        <w:rPr>
          <w:rFonts w:ascii="Verdana" w:hAnsi="Verdana" w:cs="Verdana"/>
          <w:sz w:val="20"/>
          <w:szCs w:val="20"/>
        </w:rPr>
        <w:t>.</w:t>
      </w:r>
    </w:p>
    <w:p w:rsidR="007532D5" w:rsidRDefault="007532D5" w:rsidP="007532D5">
      <w:pPr>
        <w:rPr>
          <w:rFonts w:ascii="Verdana" w:hAnsi="Verdana" w:cs="Verdana"/>
          <w:b/>
          <w:sz w:val="20"/>
          <w:szCs w:val="20"/>
        </w:rPr>
      </w:pPr>
    </w:p>
    <w:p w:rsidR="007532D5" w:rsidRDefault="001223FC" w:rsidP="007532D5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rect id="_x0000_s1128" style="position:absolute;margin-left:196.5pt;margin-top:183.75pt;width:191.25pt;height:32.25pt;z-index:251755520" filled="f" strokecolor="red"/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27" style="position:absolute;margin-left:4.5pt;margin-top:118.9pt;width:139.5pt;height:29.25pt;z-index:251754496" filled="f" strokecolor="red"/>
        </w:pict>
      </w:r>
      <w:r w:rsidR="007532D5" w:rsidRPr="007532D5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5362575" cy="3403349"/>
            <wp:effectExtent l="1905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100" cy="34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7A3" w:rsidRPr="003F0929" w:rsidRDefault="005207A3" w:rsidP="005207A3">
      <w:pPr>
        <w:rPr>
          <w:rFonts w:ascii="Verdana" w:hAnsi="Verdana"/>
          <w:sz w:val="20"/>
          <w:szCs w:val="20"/>
        </w:rPr>
      </w:pPr>
      <w:r w:rsidRPr="005207A3">
        <w:rPr>
          <w:rFonts w:ascii="Verdana" w:hAnsi="Verdana"/>
          <w:b/>
          <w:sz w:val="20"/>
          <w:szCs w:val="20"/>
        </w:rPr>
        <w:lastRenderedPageBreak/>
        <w:t>IT0015</w:t>
      </w:r>
      <w:r w:rsidR="00602CA4">
        <w:rPr>
          <w:rFonts w:ascii="Verdana" w:hAnsi="Verdana"/>
          <w:b/>
          <w:sz w:val="20"/>
          <w:szCs w:val="20"/>
        </w:rPr>
        <w:t xml:space="preserve"> – Additional Payments</w:t>
      </w:r>
      <w:r w:rsidR="003F0929">
        <w:rPr>
          <w:rFonts w:ascii="Verdana" w:hAnsi="Verdana"/>
          <w:b/>
          <w:sz w:val="20"/>
          <w:szCs w:val="20"/>
        </w:rPr>
        <w:t>, Sty /PCU</w:t>
      </w:r>
      <w:r w:rsidRPr="005207A3">
        <w:rPr>
          <w:rFonts w:ascii="Verdana" w:hAnsi="Verdana"/>
          <w:b/>
          <w:sz w:val="20"/>
          <w:szCs w:val="20"/>
        </w:rPr>
        <w:t xml:space="preserve"> </w:t>
      </w:r>
      <w:r w:rsidR="003F0929">
        <w:rPr>
          <w:rFonts w:ascii="Verdana" w:hAnsi="Verdana"/>
          <w:b/>
          <w:sz w:val="20"/>
          <w:szCs w:val="20"/>
        </w:rPr>
        <w:t>– 457 unutilized amount</w:t>
      </w:r>
      <w:r w:rsidR="001076FB">
        <w:rPr>
          <w:rFonts w:ascii="Verdana" w:hAnsi="Verdana"/>
          <w:b/>
          <w:sz w:val="20"/>
          <w:szCs w:val="20"/>
        </w:rPr>
        <w:t>:</w:t>
      </w:r>
      <w:r w:rsidRPr="005207A3">
        <w:rPr>
          <w:rFonts w:ascii="Verdana" w:hAnsi="Verdana"/>
          <w:b/>
          <w:sz w:val="20"/>
          <w:szCs w:val="20"/>
        </w:rPr>
        <w:t xml:space="preserve"> </w:t>
      </w:r>
      <w:r w:rsidR="00A442BF">
        <w:rPr>
          <w:rFonts w:ascii="Verdana" w:hAnsi="Verdana"/>
          <w:sz w:val="20"/>
          <w:szCs w:val="20"/>
        </w:rPr>
        <w:t>T</w:t>
      </w:r>
      <w:r w:rsidRPr="003F0929">
        <w:rPr>
          <w:rFonts w:ascii="Verdana" w:hAnsi="Verdana"/>
          <w:sz w:val="20"/>
          <w:szCs w:val="20"/>
        </w:rPr>
        <w:t xml:space="preserve">he effective date </w:t>
      </w:r>
      <w:r w:rsidR="00A442BF">
        <w:rPr>
          <w:rFonts w:ascii="Verdana" w:hAnsi="Verdana"/>
          <w:sz w:val="20"/>
          <w:szCs w:val="20"/>
        </w:rPr>
        <w:t xml:space="preserve">(Date of origin) </w:t>
      </w:r>
      <w:r w:rsidRPr="003F0929">
        <w:rPr>
          <w:rFonts w:ascii="Verdana" w:hAnsi="Verdana"/>
          <w:sz w:val="20"/>
          <w:szCs w:val="20"/>
        </w:rPr>
        <w:t xml:space="preserve">of the /PCU wage type will always be </w:t>
      </w:r>
      <w:r w:rsidR="00F545A5" w:rsidRPr="003F0929">
        <w:rPr>
          <w:rFonts w:ascii="Verdana" w:hAnsi="Verdana"/>
          <w:sz w:val="20"/>
          <w:szCs w:val="20"/>
        </w:rPr>
        <w:t xml:space="preserve">the period begin date of the pay period prior to the effective date of </w:t>
      </w:r>
      <w:r w:rsidR="001076FB">
        <w:rPr>
          <w:rFonts w:ascii="Verdana" w:hAnsi="Verdana"/>
          <w:sz w:val="20"/>
          <w:szCs w:val="20"/>
        </w:rPr>
        <w:t>the</w:t>
      </w:r>
      <w:r w:rsidR="00F545A5" w:rsidRPr="003F0929">
        <w:rPr>
          <w:rFonts w:ascii="Verdana" w:hAnsi="Verdana"/>
          <w:sz w:val="20"/>
          <w:szCs w:val="20"/>
        </w:rPr>
        <w:t xml:space="preserve"> catch-up election.  </w:t>
      </w:r>
      <w:r w:rsidRPr="003F0929">
        <w:rPr>
          <w:rFonts w:ascii="Verdana" w:hAnsi="Verdana"/>
          <w:sz w:val="20"/>
          <w:szCs w:val="20"/>
        </w:rPr>
        <w:t xml:space="preserve">The system default </w:t>
      </w:r>
      <w:r w:rsidR="003F0929">
        <w:rPr>
          <w:rFonts w:ascii="Verdana" w:hAnsi="Verdana"/>
          <w:sz w:val="20"/>
          <w:szCs w:val="20"/>
        </w:rPr>
        <w:t xml:space="preserve">for the </w:t>
      </w:r>
      <w:r w:rsidRPr="003F0929">
        <w:rPr>
          <w:rFonts w:ascii="Verdana" w:hAnsi="Verdana"/>
          <w:sz w:val="20"/>
          <w:szCs w:val="20"/>
        </w:rPr>
        <w:t>amount is $60,000.</w:t>
      </w:r>
    </w:p>
    <w:p w:rsidR="007532D5" w:rsidRPr="005207A3" w:rsidRDefault="007532D5" w:rsidP="005207A3">
      <w:pPr>
        <w:rPr>
          <w:rFonts w:ascii="Verdana" w:hAnsi="Verdana"/>
          <w:b/>
          <w:sz w:val="20"/>
          <w:szCs w:val="20"/>
        </w:rPr>
      </w:pPr>
    </w:p>
    <w:p w:rsidR="005207A3" w:rsidRPr="005207A3" w:rsidRDefault="001223FC" w:rsidP="005207A3">
      <w:pPr>
        <w:rPr>
          <w:rFonts w:ascii="Verdana" w:hAnsi="Verdana"/>
          <w:color w:val="FF0000"/>
          <w:sz w:val="20"/>
          <w:szCs w:val="20"/>
        </w:rPr>
      </w:pPr>
      <w:r w:rsidRPr="001223FC">
        <w:rPr>
          <w:rFonts w:ascii="Verdana" w:hAnsi="Verdana" w:cs="Verdana"/>
          <w:b/>
          <w:noProof/>
          <w:sz w:val="20"/>
          <w:szCs w:val="20"/>
        </w:rPr>
        <w:pict>
          <v:shape id="_x0000_s1132" type="#_x0000_t32" style="position:absolute;margin-left:174.75pt;margin-top:193.85pt;width:67.5pt;height:11.05pt;flip:x y;z-index:251759616" o:connectortype="straight">
            <v:stroke endarrow="block"/>
          </v:shape>
        </w:pict>
      </w:r>
      <w:r w:rsidRPr="001223FC">
        <w:rPr>
          <w:rFonts w:ascii="Verdana" w:hAnsi="Verdana" w:cs="Verdana"/>
          <w:b/>
          <w:noProof/>
          <w:sz w:val="20"/>
          <w:szCs w:val="20"/>
        </w:rPr>
        <w:pict>
          <v:rect id="_x0000_s1058" style="position:absolute;margin-left:242.25pt;margin-top:174.35pt;width:176.25pt;height:68.25pt;z-index:251686912" fillcolor="white [3212]" strokecolor="red">
            <v:textbox>
              <w:txbxContent>
                <w:p w:rsidR="00DC389B" w:rsidRPr="00F9437C" w:rsidRDefault="00DC389B" w:rsidP="007532D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 xml:space="preserve">Employee elected special catch-up effective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8/11</w:t>
                  </w: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 xml:space="preserve">/12 and is in payroll area Z3.  The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period begin date </w:t>
                  </w: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 xml:space="preserve">of the pay period prior to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8/11</w:t>
                  </w: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 xml:space="preserve">/12 is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7/28</w:t>
                  </w: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>/12.</w:t>
                  </w:r>
                </w:p>
                <w:p w:rsidR="00DC389B" w:rsidRDefault="00DC389B"/>
              </w:txbxContent>
            </v:textbox>
          </v:rect>
        </w:pict>
      </w:r>
      <w:r w:rsidRPr="001223FC">
        <w:rPr>
          <w:rFonts w:ascii="Verdana" w:hAnsi="Verdana" w:cs="Verdana"/>
          <w:b/>
          <w:noProof/>
          <w:sz w:val="20"/>
          <w:szCs w:val="20"/>
        </w:rPr>
        <w:pict>
          <v:rect id="_x0000_s1131" style="position:absolute;margin-left:4.5pt;margin-top:174.35pt;width:170.25pt;height:19.5pt;z-index:251758592" filled="f" fillcolor="white [3212]" strokecolor="red"/>
        </w:pict>
      </w:r>
      <w:r w:rsidRPr="001223FC">
        <w:rPr>
          <w:rFonts w:ascii="Verdana" w:hAnsi="Verdana" w:cs="Verdana"/>
          <w:b/>
          <w:noProof/>
          <w:sz w:val="20"/>
          <w:szCs w:val="20"/>
        </w:rPr>
        <w:pict>
          <v:rect id="_x0000_s1056" style="position:absolute;margin-left:4.5pt;margin-top:141.35pt;width:246pt;height:18.75pt;z-index:251684864" filled="f" strokecolor="red"/>
        </w:pict>
      </w:r>
      <w:r w:rsidRPr="001223FC">
        <w:rPr>
          <w:rFonts w:ascii="Verdana" w:hAnsi="Verdana" w:cs="Verdana"/>
          <w:b/>
          <w:noProof/>
          <w:sz w:val="20"/>
          <w:szCs w:val="20"/>
        </w:rPr>
        <w:pict>
          <v:rect id="_x0000_s1129" style="position:absolute;margin-left:264.4pt;margin-top:118.1pt;width:172.1pt;height:23.25pt;z-index:251756544" fillcolor="white [3212]" strokecolor="red">
            <v:textbox>
              <w:txbxContent>
                <w:p w:rsidR="00DC389B" w:rsidRPr="00F867AF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Amount will default to </w:t>
                  </w:r>
                  <w:r w:rsidRPr="00F867AF">
                    <w:rPr>
                      <w:rFonts w:ascii="Verdana" w:hAnsi="Verdana"/>
                      <w:sz w:val="20"/>
                      <w:szCs w:val="20"/>
                    </w:rPr>
                    <w:t>$60,000</w:t>
                  </w:r>
                </w:p>
              </w:txbxContent>
            </v:textbox>
          </v:rect>
        </w:pict>
      </w:r>
      <w:r w:rsidRPr="001223FC">
        <w:rPr>
          <w:rFonts w:ascii="Verdana" w:hAnsi="Verdana" w:cs="Verdana"/>
          <w:b/>
          <w:noProof/>
          <w:sz w:val="20"/>
          <w:szCs w:val="20"/>
        </w:rPr>
        <w:pict>
          <v:shape id="_x0000_s1130" type="#_x0000_t32" style="position:absolute;margin-left:250.5pt;margin-top:130.1pt;width:13.9pt;height:16.5pt;flip:x;z-index:251757568" o:connectortype="straight">
            <v:stroke endarrow="block"/>
          </v:shape>
        </w:pict>
      </w:r>
      <w:r w:rsidR="007532D5" w:rsidRPr="007532D5">
        <w:rPr>
          <w:rFonts w:ascii="Verdana" w:hAnsi="Verdana"/>
          <w:noProof/>
          <w:color w:val="FF0000"/>
          <w:sz w:val="20"/>
          <w:szCs w:val="20"/>
        </w:rPr>
        <w:drawing>
          <wp:inline distT="0" distB="0" distL="0" distR="0">
            <wp:extent cx="5600700" cy="316230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14" cy="316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7A3" w:rsidRDefault="005207A3" w:rsidP="005207A3">
      <w:r>
        <w:rPr>
          <w:color w:val="FF0000"/>
        </w:rPr>
        <w:t xml:space="preserve"> </w:t>
      </w:r>
    </w:p>
    <w:p w:rsidR="005207A3" w:rsidRPr="003F0929" w:rsidRDefault="005207A3" w:rsidP="005207A3">
      <w:pPr>
        <w:rPr>
          <w:rFonts w:ascii="Verdana" w:hAnsi="Verdana"/>
          <w:sz w:val="20"/>
          <w:szCs w:val="20"/>
        </w:rPr>
      </w:pPr>
      <w:r w:rsidRPr="005207A3">
        <w:rPr>
          <w:rFonts w:ascii="Verdana" w:hAnsi="Verdana"/>
          <w:b/>
          <w:sz w:val="20"/>
          <w:szCs w:val="20"/>
        </w:rPr>
        <w:t xml:space="preserve">IT0041 </w:t>
      </w:r>
      <w:r w:rsidR="003F0929">
        <w:rPr>
          <w:rFonts w:ascii="Verdana" w:hAnsi="Verdana"/>
          <w:b/>
          <w:sz w:val="20"/>
          <w:szCs w:val="20"/>
        </w:rPr>
        <w:t xml:space="preserve">Date Specifications, NR – Normal Retirement </w:t>
      </w:r>
      <w:proofErr w:type="spellStart"/>
      <w:proofErr w:type="gramStart"/>
      <w:r w:rsidR="003F0929">
        <w:rPr>
          <w:rFonts w:ascii="Verdana" w:hAnsi="Verdana"/>
          <w:b/>
          <w:sz w:val="20"/>
          <w:szCs w:val="20"/>
        </w:rPr>
        <w:t>Dt</w:t>
      </w:r>
      <w:proofErr w:type="spellEnd"/>
      <w:proofErr w:type="gramEnd"/>
      <w:r w:rsidR="001076FB">
        <w:rPr>
          <w:rFonts w:ascii="Verdana" w:hAnsi="Verdana"/>
          <w:b/>
          <w:sz w:val="20"/>
          <w:szCs w:val="20"/>
        </w:rPr>
        <w:t>:</w:t>
      </w:r>
      <w:r w:rsidRPr="005207A3">
        <w:rPr>
          <w:rFonts w:ascii="Verdana" w:hAnsi="Verdana"/>
          <w:b/>
          <w:sz w:val="20"/>
          <w:szCs w:val="20"/>
        </w:rPr>
        <w:t xml:space="preserve"> </w:t>
      </w:r>
      <w:r w:rsidR="00A442BF">
        <w:rPr>
          <w:rFonts w:ascii="Verdana" w:hAnsi="Verdana"/>
          <w:sz w:val="20"/>
          <w:szCs w:val="20"/>
        </w:rPr>
        <w:t>T</w:t>
      </w:r>
      <w:r w:rsidRPr="003F0929">
        <w:rPr>
          <w:rFonts w:ascii="Verdana" w:hAnsi="Verdana"/>
          <w:sz w:val="20"/>
          <w:szCs w:val="20"/>
        </w:rPr>
        <w:t xml:space="preserve">he start date of the record will always be </w:t>
      </w:r>
      <w:r w:rsidR="00F545A5" w:rsidRPr="003F0929">
        <w:rPr>
          <w:rFonts w:ascii="Verdana" w:hAnsi="Verdana"/>
          <w:sz w:val="20"/>
          <w:szCs w:val="20"/>
        </w:rPr>
        <w:t xml:space="preserve">the period begin date of the pay period prior to the effective date of </w:t>
      </w:r>
      <w:r w:rsidR="001076FB">
        <w:rPr>
          <w:rFonts w:ascii="Verdana" w:hAnsi="Verdana"/>
          <w:sz w:val="20"/>
          <w:szCs w:val="20"/>
        </w:rPr>
        <w:t>the</w:t>
      </w:r>
      <w:r w:rsidR="00F545A5" w:rsidRPr="003F0929">
        <w:rPr>
          <w:rFonts w:ascii="Verdana" w:hAnsi="Verdana"/>
          <w:sz w:val="20"/>
          <w:szCs w:val="20"/>
        </w:rPr>
        <w:t xml:space="preserve"> catch-up election.  The Normal Retirement </w:t>
      </w:r>
      <w:proofErr w:type="spellStart"/>
      <w:r w:rsidR="00F545A5" w:rsidRPr="003F0929">
        <w:rPr>
          <w:rFonts w:ascii="Verdana" w:hAnsi="Verdana"/>
          <w:sz w:val="20"/>
          <w:szCs w:val="20"/>
        </w:rPr>
        <w:t>Dt</w:t>
      </w:r>
      <w:proofErr w:type="spellEnd"/>
      <w:r w:rsidR="00F545A5" w:rsidRPr="003F0929">
        <w:rPr>
          <w:rFonts w:ascii="Verdana" w:hAnsi="Verdana"/>
          <w:sz w:val="20"/>
          <w:szCs w:val="20"/>
        </w:rPr>
        <w:t xml:space="preserve"> identifies the calendar year in which the employee is no longer eligible to participate in the special catch-up.  </w:t>
      </w:r>
      <w:r w:rsidR="003F0929">
        <w:rPr>
          <w:rFonts w:ascii="Verdana" w:hAnsi="Verdana"/>
          <w:sz w:val="20"/>
          <w:szCs w:val="20"/>
        </w:rPr>
        <w:t xml:space="preserve">This will always reflect a 1.1.XXXX date.  </w:t>
      </w:r>
      <w:r w:rsidR="00F545A5" w:rsidRPr="003F0929">
        <w:rPr>
          <w:rFonts w:ascii="Verdana" w:hAnsi="Verdana"/>
          <w:sz w:val="20"/>
          <w:szCs w:val="20"/>
        </w:rPr>
        <w:t>B</w:t>
      </w:r>
      <w:r w:rsidRPr="003F0929">
        <w:rPr>
          <w:rFonts w:ascii="Verdana" w:hAnsi="Verdana"/>
          <w:sz w:val="20"/>
          <w:szCs w:val="20"/>
        </w:rPr>
        <w:t xml:space="preserve">ased on the Normal Retirement </w:t>
      </w:r>
      <w:proofErr w:type="spellStart"/>
      <w:r w:rsidRPr="003F0929">
        <w:rPr>
          <w:rFonts w:ascii="Verdana" w:hAnsi="Verdana"/>
          <w:sz w:val="20"/>
          <w:szCs w:val="20"/>
        </w:rPr>
        <w:t>Dt</w:t>
      </w:r>
      <w:proofErr w:type="spellEnd"/>
      <w:r w:rsidRPr="003F0929">
        <w:rPr>
          <w:rFonts w:ascii="Verdana" w:hAnsi="Verdana"/>
          <w:sz w:val="20"/>
          <w:szCs w:val="20"/>
        </w:rPr>
        <w:t xml:space="preserve"> shown below, the employee will be eligible to defer the maximum of $34</w:t>
      </w:r>
      <w:r w:rsidR="00A442BF">
        <w:rPr>
          <w:rFonts w:ascii="Verdana" w:hAnsi="Verdana"/>
          <w:sz w:val="20"/>
          <w:szCs w:val="20"/>
        </w:rPr>
        <w:t>,</w:t>
      </w:r>
      <w:r w:rsidRPr="003F0929">
        <w:rPr>
          <w:rFonts w:ascii="Verdana" w:hAnsi="Verdana"/>
          <w:sz w:val="20"/>
          <w:szCs w:val="20"/>
        </w:rPr>
        <w:t>000 thru 12/31/2014.</w:t>
      </w:r>
    </w:p>
    <w:p w:rsidR="005207A3" w:rsidRPr="005207A3" w:rsidRDefault="005207A3" w:rsidP="005207A3">
      <w:pPr>
        <w:rPr>
          <w:rFonts w:ascii="Verdana" w:hAnsi="Verdana"/>
          <w:color w:val="FF0000"/>
          <w:sz w:val="20"/>
          <w:szCs w:val="20"/>
        </w:rPr>
      </w:pPr>
    </w:p>
    <w:p w:rsidR="00EB1D52" w:rsidRDefault="001223FC" w:rsidP="005207A3">
      <w:r>
        <w:rPr>
          <w:noProof/>
        </w:rPr>
        <w:pict>
          <v:shape id="_x0000_s1067" type="#_x0000_t32" style="position:absolute;margin-left:185.25pt;margin-top:155.35pt;width:26.55pt;height:6.75pt;flip:x y;z-index:251697152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66" type="#_x0000_t202" style="position:absolute;margin-left:211.2pt;margin-top:140.35pt;width:186.2pt;height:56.55pt;z-index:251696128;mso-width-percent:400;mso-height-percent:200;mso-width-percent:400;mso-height-percent:200;mso-width-relative:margin;mso-height-relative:margin" strokecolor="red">
            <v:textbox style="mso-fit-shape-to-text:t">
              <w:txbxContent>
                <w:p w:rsidR="00DC389B" w:rsidRPr="00F9437C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 xml:space="preserve">Based on the NR Date, employee will be eligible to defer the annual maximum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of $34,000 </w:t>
                  </w: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>thru 12/31/14.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32" style="position:absolute;margin-left:124.5pt;margin-top:99.3pt;width:45pt;height:0;flip:x;z-index:251713536" o:connectortype="straight">
            <v:stroke endarrow="block"/>
          </v:shape>
        </w:pict>
      </w:r>
      <w:r>
        <w:rPr>
          <w:noProof/>
        </w:rPr>
        <w:pict>
          <v:shape id="_x0000_s1064" type="#_x0000_t202" style="position:absolute;margin-left:169.5pt;margin-top:80.05pt;width:267pt;height:44.4pt;z-index:251694080;mso-height-percent:200;mso-height-percent:200;mso-width-relative:margin;mso-height-relative:margin" strokecolor="red">
            <v:textbox style="mso-fit-shape-to-text:t">
              <w:txbxContent>
                <w:p w:rsidR="00DC389B" w:rsidRPr="00F9437C" w:rsidRDefault="00DC389B" w:rsidP="00F943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 xml:space="preserve">Employee elected special catch-up effective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8/11</w:t>
                  </w: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 xml:space="preserve">/12 and is in payroll area Z3.  The first day of the pay period prior to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8/11</w:t>
                  </w: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 xml:space="preserve">/12 is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7/28</w:t>
                  </w: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>/12.</w:t>
                  </w:r>
                </w:p>
              </w:txbxContent>
            </v:textbox>
          </v:shape>
        </w:pict>
      </w:r>
      <w:r w:rsidR="00EB1D52" w:rsidRPr="00EB1D52">
        <w:rPr>
          <w:noProof/>
        </w:rPr>
        <w:drawing>
          <wp:inline distT="0" distB="0" distL="0" distR="0">
            <wp:extent cx="5467350" cy="2601326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329" cy="261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7A3" w:rsidRDefault="003F0929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P</w:t>
      </w:r>
      <w:r w:rsidR="00A72167">
        <w:rPr>
          <w:rFonts w:ascii="Verdana" w:hAnsi="Verdana" w:cs="Verdana"/>
          <w:b/>
          <w:sz w:val="20"/>
          <w:szCs w:val="20"/>
        </w:rPr>
        <w:t>eriod 18/2012</w:t>
      </w:r>
      <w:r w:rsidR="001076FB">
        <w:rPr>
          <w:rFonts w:ascii="Verdana" w:hAnsi="Verdana" w:cs="Verdana"/>
          <w:b/>
          <w:sz w:val="20"/>
          <w:szCs w:val="20"/>
        </w:rPr>
        <w:t>:</w:t>
      </w:r>
      <w:r w:rsidR="00A72167">
        <w:rPr>
          <w:rFonts w:ascii="Verdana" w:hAnsi="Verdana" w:cs="Verdana"/>
          <w:b/>
          <w:sz w:val="20"/>
          <w:szCs w:val="20"/>
        </w:rPr>
        <w:t xml:space="preserve"> </w:t>
      </w:r>
      <w:r w:rsidR="001076FB">
        <w:rPr>
          <w:rFonts w:ascii="Verdana" w:hAnsi="Verdana" w:cs="Verdana"/>
          <w:sz w:val="20"/>
          <w:szCs w:val="20"/>
        </w:rPr>
        <w:t>E</w:t>
      </w:r>
      <w:r w:rsidR="00A72167" w:rsidRPr="003F0929">
        <w:rPr>
          <w:rFonts w:ascii="Verdana" w:hAnsi="Verdana" w:cs="Verdana"/>
          <w:sz w:val="20"/>
          <w:szCs w:val="20"/>
        </w:rPr>
        <w:t>mployee exceeded the annual $17</w:t>
      </w:r>
      <w:r w:rsidR="00A36BE1">
        <w:rPr>
          <w:rFonts w:ascii="Verdana" w:hAnsi="Verdana" w:cs="Verdana"/>
          <w:sz w:val="20"/>
          <w:szCs w:val="20"/>
        </w:rPr>
        <w:t>,</w:t>
      </w:r>
      <w:r w:rsidR="00A72167" w:rsidRPr="003F0929">
        <w:rPr>
          <w:rFonts w:ascii="Verdana" w:hAnsi="Verdana" w:cs="Verdana"/>
          <w:sz w:val="20"/>
          <w:szCs w:val="20"/>
        </w:rPr>
        <w:t>000 and started contributing towards the special catch-up</w:t>
      </w:r>
      <w:r w:rsidR="008C6FB0" w:rsidRPr="003F0929">
        <w:rPr>
          <w:rFonts w:ascii="Verdana" w:hAnsi="Verdana" w:cs="Verdana"/>
          <w:sz w:val="20"/>
          <w:szCs w:val="20"/>
        </w:rPr>
        <w:t>.</w:t>
      </w:r>
      <w:r w:rsidR="00A72167" w:rsidRPr="003F0929">
        <w:rPr>
          <w:rFonts w:ascii="Verdana" w:hAnsi="Verdana" w:cs="Verdana"/>
          <w:sz w:val="20"/>
          <w:szCs w:val="20"/>
        </w:rPr>
        <w:t xml:space="preserve">  All deductions are applied to the regular wage types of DCMP – WT6E74 and ROTH – WT6E68.  Catch-up wage types are only used </w:t>
      </w:r>
      <w:r w:rsidR="00A442BF">
        <w:rPr>
          <w:rFonts w:ascii="Verdana" w:hAnsi="Verdana" w:cs="Verdana"/>
          <w:sz w:val="20"/>
          <w:szCs w:val="20"/>
        </w:rPr>
        <w:t>for</w:t>
      </w:r>
      <w:r w:rsidR="00A72167" w:rsidRPr="003F0929">
        <w:rPr>
          <w:rFonts w:ascii="Verdana" w:hAnsi="Verdana" w:cs="Verdana"/>
          <w:sz w:val="20"/>
          <w:szCs w:val="20"/>
        </w:rPr>
        <w:t xml:space="preserve"> the Age 50 </w:t>
      </w:r>
      <w:r w:rsidR="001076FB">
        <w:rPr>
          <w:rFonts w:ascii="Verdana" w:hAnsi="Verdana" w:cs="Verdana"/>
          <w:sz w:val="20"/>
          <w:szCs w:val="20"/>
        </w:rPr>
        <w:t>C</w:t>
      </w:r>
      <w:r w:rsidR="00A72167" w:rsidRPr="003F0929">
        <w:rPr>
          <w:rFonts w:ascii="Verdana" w:hAnsi="Verdana" w:cs="Verdana"/>
          <w:sz w:val="20"/>
          <w:szCs w:val="20"/>
        </w:rPr>
        <w:t>atch-up.</w:t>
      </w:r>
    </w:p>
    <w:p w:rsidR="00F5790D" w:rsidRDefault="00F5790D" w:rsidP="00E56507">
      <w:pPr>
        <w:rPr>
          <w:rFonts w:ascii="Verdana" w:hAnsi="Verdana" w:cs="Verdana"/>
          <w:b/>
          <w:sz w:val="20"/>
          <w:szCs w:val="20"/>
        </w:rPr>
      </w:pPr>
    </w:p>
    <w:p w:rsidR="005207A3" w:rsidRDefault="005207A3" w:rsidP="00E56507">
      <w:pPr>
        <w:rPr>
          <w:rFonts w:ascii="Verdana" w:hAnsi="Verdana" w:cs="Verdana"/>
          <w:b/>
          <w:sz w:val="20"/>
          <w:szCs w:val="20"/>
        </w:rPr>
      </w:pPr>
    </w:p>
    <w:p w:rsidR="005207A3" w:rsidRDefault="001223FC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shape id="_x0000_s1135" type="#_x0000_t32" style="position:absolute;margin-left:339pt;margin-top:486.85pt;width:18pt;height:10.45pt;flip:y;z-index:251762688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shape id="_x0000_s1134" type="#_x0000_t32" style="position:absolute;margin-left:339pt;margin-top:464.35pt;width:18pt;height:20.2pt;flip:y;z-index:251761664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33" style="position:absolute;margin-left:240.75pt;margin-top:453.05pt;width:98.25pt;height:55.5pt;z-index:251760640" fillcolor="white [3212]" strokecolor="red">
            <v:textbox>
              <w:txbxContent>
                <w:p w:rsidR="00DC389B" w:rsidRPr="002D680F" w:rsidRDefault="00DC389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D680F">
                    <w:rPr>
                      <w:rFonts w:ascii="Verdana" w:hAnsi="Verdana"/>
                      <w:sz w:val="18"/>
                      <w:szCs w:val="18"/>
                    </w:rPr>
                    <w:t>Employee now contributing in access of $17,000 combined</w:t>
                  </w:r>
                </w:p>
              </w:txbxContent>
            </v:textbox>
          </v:rect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shape id="_x0000_s1077" type="#_x0000_t32" style="position:absolute;margin-left:186.75pt;margin-top:486.8pt;width:12pt;height:.05pt;z-index:251706368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070" style="position:absolute;margin-left:2.25pt;margin-top:425.3pt;width:436.5pt;height:105pt;z-index:251700224" filled="f" strokecolor="red"/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shape id="_x0000_s1073" type="#_x0000_t32" style="position:absolute;margin-left:186.75pt;margin-top:462.8pt;width:24pt;height:.05pt;z-index:251703296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071" style="position:absolute;margin-left:117.75pt;margin-top:453.05pt;width:69pt;height:18.75pt;z-index:251701248" strokecolor="red">
            <v:textbox>
              <w:txbxContent>
                <w:p w:rsidR="00DC389B" w:rsidRPr="008C6FB0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C6FB0">
                    <w:rPr>
                      <w:rFonts w:ascii="Verdana" w:hAnsi="Verdana"/>
                      <w:sz w:val="20"/>
                      <w:szCs w:val="20"/>
                    </w:rPr>
                    <w:t>WT 6E74</w:t>
                  </w:r>
                </w:p>
              </w:txbxContent>
            </v:textbox>
          </v:rect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075" style="position:absolute;margin-left:117.75pt;margin-top:476.3pt;width:69pt;height:21pt;z-index:251704320" strokecolor="red">
            <v:textbox>
              <w:txbxContent>
                <w:p w:rsidR="00DC389B" w:rsidRPr="008C6FB0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C6FB0">
                    <w:rPr>
                      <w:rFonts w:ascii="Verdana" w:hAnsi="Verdana"/>
                      <w:sz w:val="20"/>
                      <w:szCs w:val="20"/>
                    </w:rPr>
                    <w:t>WT 6E68</w:t>
                  </w:r>
                </w:p>
              </w:txbxContent>
            </v:textbox>
          </v:rect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shape id="_x0000_s1076" type="#_x0000_t32" style="position:absolute;margin-left:44.25pt;margin-top:484.55pt;width:73.5pt;height:2.25pt;flip:x y;z-index:251705344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shape id="_x0000_s1072" type="#_x0000_t32" style="position:absolute;margin-left:96pt;margin-top:462.8pt;width:21.75pt;height:.05pt;flip:x;z-index:251702272" o:connectortype="straight">
            <v:stroke endarrow="block"/>
          </v:shape>
        </w:pict>
      </w:r>
      <w:r w:rsidR="00EB1D52" w:rsidRPr="00EB1D52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5600700" cy="6741113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138" cy="674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6FB" w:rsidRDefault="001076FB" w:rsidP="00E56507">
      <w:pPr>
        <w:rPr>
          <w:rFonts w:ascii="Verdana" w:hAnsi="Verdana" w:cs="Verdana"/>
          <w:b/>
          <w:sz w:val="20"/>
          <w:szCs w:val="20"/>
        </w:rPr>
      </w:pPr>
    </w:p>
    <w:p w:rsidR="00F5790D" w:rsidRPr="003F0929" w:rsidRDefault="003F0929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P</w:t>
      </w:r>
      <w:r w:rsidR="00EB2AA5">
        <w:rPr>
          <w:rFonts w:ascii="Verdana" w:hAnsi="Verdana" w:cs="Verdana"/>
          <w:b/>
          <w:sz w:val="20"/>
          <w:szCs w:val="20"/>
        </w:rPr>
        <w:t>eriod 21</w:t>
      </w:r>
      <w:r w:rsidR="001076FB">
        <w:rPr>
          <w:rFonts w:ascii="Verdana" w:hAnsi="Verdana" w:cs="Verdana"/>
          <w:b/>
          <w:sz w:val="20"/>
          <w:szCs w:val="20"/>
        </w:rPr>
        <w:t>/</w:t>
      </w:r>
      <w:r w:rsidR="00F5790D">
        <w:rPr>
          <w:rFonts w:ascii="Verdana" w:hAnsi="Verdana" w:cs="Verdana"/>
          <w:b/>
          <w:sz w:val="20"/>
          <w:szCs w:val="20"/>
        </w:rPr>
        <w:t>2012</w:t>
      </w:r>
      <w:r w:rsidR="001076FB">
        <w:rPr>
          <w:rFonts w:ascii="Verdana" w:hAnsi="Verdana" w:cs="Verdana"/>
          <w:b/>
          <w:sz w:val="20"/>
          <w:szCs w:val="20"/>
        </w:rPr>
        <w:t>:</w:t>
      </w:r>
      <w:r w:rsidR="00F5790D">
        <w:rPr>
          <w:rFonts w:ascii="Verdana" w:hAnsi="Verdana" w:cs="Verdana"/>
          <w:b/>
          <w:sz w:val="20"/>
          <w:szCs w:val="20"/>
        </w:rPr>
        <w:t xml:space="preserve"> </w:t>
      </w:r>
      <w:r w:rsidR="00A442BF">
        <w:rPr>
          <w:rFonts w:ascii="Verdana" w:hAnsi="Verdana" w:cs="Verdana"/>
          <w:sz w:val="20"/>
          <w:szCs w:val="20"/>
        </w:rPr>
        <w:t>E</w:t>
      </w:r>
      <w:r w:rsidR="00F5790D" w:rsidRPr="003F0929">
        <w:rPr>
          <w:rFonts w:ascii="Verdana" w:hAnsi="Verdana" w:cs="Verdana"/>
          <w:sz w:val="20"/>
          <w:szCs w:val="20"/>
        </w:rPr>
        <w:t xml:space="preserve">mployee </w:t>
      </w:r>
      <w:r w:rsidR="00EB2AA5" w:rsidRPr="003F0929">
        <w:rPr>
          <w:rFonts w:ascii="Verdana" w:hAnsi="Verdana" w:cs="Verdana"/>
          <w:sz w:val="20"/>
          <w:szCs w:val="20"/>
        </w:rPr>
        <w:t>has almost reached the maximum annual contribution of $34</w:t>
      </w:r>
      <w:r w:rsidR="00A36BE1">
        <w:rPr>
          <w:rFonts w:ascii="Verdana" w:hAnsi="Verdana" w:cs="Verdana"/>
          <w:sz w:val="20"/>
          <w:szCs w:val="20"/>
        </w:rPr>
        <w:t>,</w:t>
      </w:r>
      <w:r w:rsidR="00EB2AA5" w:rsidRPr="003F0929">
        <w:rPr>
          <w:rFonts w:ascii="Verdana" w:hAnsi="Verdana" w:cs="Verdana"/>
          <w:sz w:val="20"/>
          <w:szCs w:val="20"/>
        </w:rPr>
        <w:t xml:space="preserve">000 and has $126.50 remaining. </w:t>
      </w:r>
    </w:p>
    <w:p w:rsidR="00EB2AA5" w:rsidRDefault="00EB2AA5" w:rsidP="00E56507">
      <w:pPr>
        <w:rPr>
          <w:rFonts w:ascii="Verdana" w:hAnsi="Verdana" w:cs="Verdana"/>
          <w:b/>
          <w:sz w:val="20"/>
          <w:szCs w:val="20"/>
        </w:rPr>
      </w:pPr>
    </w:p>
    <w:p w:rsidR="00F5790D" w:rsidRDefault="001223FC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shape id="_x0000_s1164" type="#_x0000_t32" style="position:absolute;margin-left:335.25pt;margin-top:488pt;width:27.75pt;height:14.25pt;z-index:251789312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shape id="_x0000_s1163" type="#_x0000_t32" style="position:absolute;margin-left:335.25pt;margin-top:482.75pt;width:27.75pt;height:5.25pt;flip:y;z-index:251788288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62" style="position:absolute;margin-left:258.75pt;margin-top:469.25pt;width:76.5pt;height:37.5pt;z-index:251787264" fillcolor="white [3212]" strokecolor="red">
            <v:textbox>
              <w:txbxContent>
                <w:p w:rsidR="00DC389B" w:rsidRPr="00567A7D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67A7D">
                    <w:rPr>
                      <w:rFonts w:ascii="Verdana" w:hAnsi="Verdana"/>
                      <w:sz w:val="20"/>
                      <w:szCs w:val="20"/>
                    </w:rPr>
                    <w:t>Total YTD is $33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Pr="00567A7D">
                    <w:rPr>
                      <w:rFonts w:ascii="Verdana" w:hAnsi="Verdana"/>
                      <w:sz w:val="20"/>
                      <w:szCs w:val="20"/>
                    </w:rPr>
                    <w:t>873.50</w:t>
                  </w:r>
                </w:p>
                <w:p w:rsidR="00DC389B" w:rsidRDefault="00DC389B"/>
              </w:txbxContent>
            </v:textbox>
          </v:rect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61" style="position:absolute;margin-left:2.25pt;margin-top:443.4pt;width:450.75pt;height:106.5pt;z-index:251786240" filled="f" strokecolor="red"/>
        </w:pict>
      </w:r>
      <w:r w:rsidR="00EB2AA5" w:rsidRPr="00EB2AA5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5772150" cy="7009040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0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0D" w:rsidRDefault="001223FC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shape id="_x0000_s1081" type="#_x0000_t32" style="position:absolute;margin-left:404.25pt;margin-top:491.4pt;width:14.85pt;height:8.25pt;flip:x;z-index:251710464" o:connectortype="straight">
            <v:stroke startarrow="block"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shape id="_x0000_s1080" type="#_x0000_t32" style="position:absolute;margin-left:404.25pt;margin-top:477.9pt;width:14.85pt;height:13.5pt;z-index:251709440" o:connectortype="straight">
            <v:stroke startarrow="block"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  <w:lang w:eastAsia="zh-TW"/>
        </w:rPr>
        <w:pict>
          <v:shape id="_x0000_s1079" type="#_x0000_t202" style="position:absolute;margin-left:418.65pt;margin-top:461.8pt;width:103.8pt;height:56.55pt;z-index:251708416;mso-height-percent:200;mso-height-percent:200;mso-width-relative:margin;mso-height-relative:margin" strokecolor="red">
            <v:textbox style="mso-fit-shape-to-text:t">
              <w:txbxContent>
                <w:p w:rsidR="00DC389B" w:rsidRPr="00F5790D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5790D">
                    <w:rPr>
                      <w:rFonts w:ascii="Verdana" w:hAnsi="Verdana"/>
                      <w:sz w:val="20"/>
                      <w:szCs w:val="20"/>
                    </w:rPr>
                    <w:t>Employee has contributed a combined total of $34,000</w:t>
                  </w:r>
                </w:p>
              </w:txbxContent>
            </v:textbox>
          </v:shape>
        </w:pict>
      </w:r>
    </w:p>
    <w:p w:rsidR="005207A3" w:rsidRDefault="005207A3" w:rsidP="00E56507">
      <w:pPr>
        <w:rPr>
          <w:rFonts w:ascii="Verdana" w:hAnsi="Verdana" w:cs="Verdana"/>
          <w:b/>
          <w:sz w:val="20"/>
          <w:szCs w:val="20"/>
        </w:rPr>
      </w:pPr>
    </w:p>
    <w:p w:rsidR="00EB2AA5" w:rsidRPr="003F0929" w:rsidRDefault="003F0929" w:rsidP="00EB2A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</w:t>
      </w:r>
      <w:r w:rsidR="00EB2AA5">
        <w:rPr>
          <w:rFonts w:ascii="Verdana" w:hAnsi="Verdana"/>
          <w:b/>
          <w:sz w:val="20"/>
          <w:szCs w:val="20"/>
        </w:rPr>
        <w:t>eriod 22/2012</w:t>
      </w:r>
      <w:r w:rsidR="001076FB">
        <w:rPr>
          <w:rFonts w:ascii="Verdana" w:hAnsi="Verdana"/>
          <w:b/>
          <w:sz w:val="20"/>
          <w:szCs w:val="20"/>
        </w:rPr>
        <w:t xml:space="preserve">: </w:t>
      </w:r>
      <w:r w:rsidR="00A442BF">
        <w:rPr>
          <w:rFonts w:ascii="Verdana" w:hAnsi="Verdana"/>
          <w:sz w:val="20"/>
          <w:szCs w:val="20"/>
        </w:rPr>
        <w:t>T</w:t>
      </w:r>
      <w:r w:rsidR="00EB2AA5" w:rsidRPr="003F0929">
        <w:rPr>
          <w:rFonts w:ascii="Verdana" w:hAnsi="Verdana"/>
          <w:sz w:val="20"/>
          <w:szCs w:val="20"/>
        </w:rPr>
        <w:t>he remain</w:t>
      </w:r>
      <w:r w:rsidR="001076FB">
        <w:rPr>
          <w:rFonts w:ascii="Verdana" w:hAnsi="Verdana"/>
          <w:sz w:val="20"/>
          <w:szCs w:val="20"/>
        </w:rPr>
        <w:t>ing $126.50 was taken for DCMP.</w:t>
      </w:r>
      <w:r w:rsidR="00EB2AA5" w:rsidRPr="003F0929">
        <w:rPr>
          <w:rFonts w:ascii="Verdana" w:hAnsi="Verdana"/>
          <w:sz w:val="20"/>
          <w:szCs w:val="20"/>
        </w:rPr>
        <w:t xml:space="preserve">  </w:t>
      </w:r>
      <w:r w:rsidR="00A442BF">
        <w:rPr>
          <w:rFonts w:ascii="Verdana" w:hAnsi="Verdana"/>
          <w:sz w:val="20"/>
          <w:szCs w:val="20"/>
        </w:rPr>
        <w:t xml:space="preserve">The </w:t>
      </w:r>
      <w:r w:rsidR="00EB2AA5" w:rsidRPr="003F0929">
        <w:rPr>
          <w:rFonts w:ascii="Verdana" w:hAnsi="Verdana"/>
          <w:sz w:val="20"/>
          <w:szCs w:val="20"/>
        </w:rPr>
        <w:t xml:space="preserve">DCMP </w:t>
      </w:r>
      <w:r w:rsidR="00A442BF">
        <w:rPr>
          <w:rFonts w:ascii="Verdana" w:hAnsi="Verdana"/>
          <w:sz w:val="20"/>
          <w:szCs w:val="20"/>
        </w:rPr>
        <w:t xml:space="preserve">deduction </w:t>
      </w:r>
      <w:r w:rsidR="00EB2AA5" w:rsidRPr="003F0929">
        <w:rPr>
          <w:rFonts w:ascii="Verdana" w:hAnsi="Verdana"/>
          <w:sz w:val="20"/>
          <w:szCs w:val="20"/>
        </w:rPr>
        <w:t xml:space="preserve">has priority over </w:t>
      </w:r>
      <w:r w:rsidR="00A442BF">
        <w:rPr>
          <w:rFonts w:ascii="Verdana" w:hAnsi="Verdana"/>
          <w:sz w:val="20"/>
          <w:szCs w:val="20"/>
        </w:rPr>
        <w:t xml:space="preserve">the </w:t>
      </w:r>
      <w:r w:rsidR="00EB2AA5" w:rsidRPr="003F0929">
        <w:rPr>
          <w:rFonts w:ascii="Verdana" w:hAnsi="Verdana"/>
          <w:sz w:val="20"/>
          <w:szCs w:val="20"/>
        </w:rPr>
        <w:t>Roth</w:t>
      </w:r>
      <w:r w:rsidR="00A442BF">
        <w:rPr>
          <w:rFonts w:ascii="Verdana" w:hAnsi="Verdana"/>
          <w:sz w:val="20"/>
          <w:szCs w:val="20"/>
        </w:rPr>
        <w:t xml:space="preserve"> deduction</w:t>
      </w:r>
      <w:r w:rsidR="00EB2AA5" w:rsidRPr="003F0929">
        <w:rPr>
          <w:rFonts w:ascii="Verdana" w:hAnsi="Verdana"/>
          <w:sz w:val="20"/>
          <w:szCs w:val="20"/>
        </w:rPr>
        <w:t>, resulting in the deduction being applied to DCMP.  Employee has now reached the maximum contribution of $34</w:t>
      </w:r>
      <w:r w:rsidR="00A36BE1">
        <w:rPr>
          <w:rFonts w:ascii="Verdana" w:hAnsi="Verdana"/>
          <w:sz w:val="20"/>
          <w:szCs w:val="20"/>
        </w:rPr>
        <w:t>,</w:t>
      </w:r>
      <w:r w:rsidR="00EB2AA5" w:rsidRPr="003F0929">
        <w:rPr>
          <w:rFonts w:ascii="Verdana" w:hAnsi="Verdana"/>
          <w:sz w:val="20"/>
          <w:szCs w:val="20"/>
        </w:rPr>
        <w:t>000 and deductions will stop</w:t>
      </w:r>
      <w:r w:rsidR="00A442BF">
        <w:rPr>
          <w:rFonts w:ascii="Verdana" w:hAnsi="Verdana"/>
          <w:sz w:val="20"/>
          <w:szCs w:val="20"/>
        </w:rPr>
        <w:t xml:space="preserve"> for 2012.</w:t>
      </w:r>
    </w:p>
    <w:p w:rsidR="00EB2AA5" w:rsidRDefault="00EB2AA5" w:rsidP="00EB2AA5">
      <w:pPr>
        <w:rPr>
          <w:rFonts w:ascii="Verdana" w:hAnsi="Verdana"/>
          <w:b/>
          <w:sz w:val="20"/>
          <w:szCs w:val="20"/>
        </w:rPr>
      </w:pPr>
    </w:p>
    <w:p w:rsidR="00EB2AA5" w:rsidRPr="00EB2AA5" w:rsidRDefault="001223FC" w:rsidP="00EB2AA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 id="_x0000_s1139" type="#_x0000_t32" style="position:absolute;margin-left:339pt;margin-top:490.7pt;width:15pt;height:0;z-index:251766784" o:connectortype="straight">
            <v:stroke endarrow="block"/>
          </v:shape>
        </w:pict>
      </w:r>
      <w:r>
        <w:rPr>
          <w:rFonts w:ascii="Verdana" w:hAnsi="Verdana"/>
          <w:b/>
          <w:noProof/>
          <w:sz w:val="20"/>
          <w:szCs w:val="20"/>
        </w:rPr>
        <w:pict>
          <v:shape id="_x0000_s1138" type="#_x0000_t32" style="position:absolute;margin-left:339pt;margin-top:474.2pt;width:15pt;height:16.5pt;flip:y;z-index:251765760" o:connectortype="straight">
            <v:stroke endarrow="block"/>
          </v:shape>
        </w:pict>
      </w:r>
      <w:r>
        <w:rPr>
          <w:rFonts w:ascii="Verdana" w:hAnsi="Verdana"/>
          <w:b/>
          <w:noProof/>
          <w:sz w:val="20"/>
          <w:szCs w:val="20"/>
        </w:rPr>
        <w:pict>
          <v:rect id="_x0000_s1137" style="position:absolute;margin-left:240.75pt;margin-top:474.2pt;width:98.25pt;height:30.75pt;z-index:251764736" fillcolor="white [3212]" strokecolor="red">
            <v:textbox>
              <w:txbxContent>
                <w:p w:rsidR="00DC389B" w:rsidRPr="00EB2AA5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B2AA5">
                    <w:rPr>
                      <w:rFonts w:ascii="Verdana" w:hAnsi="Verdana"/>
                      <w:sz w:val="20"/>
                      <w:szCs w:val="20"/>
                    </w:rPr>
                    <w:t>Combined total is $34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Pr="00EB2AA5">
                    <w:rPr>
                      <w:rFonts w:ascii="Verdana" w:hAnsi="Verdana"/>
                      <w:sz w:val="20"/>
                      <w:szCs w:val="20"/>
                    </w:rPr>
                    <w:t>000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sz w:val="20"/>
          <w:szCs w:val="20"/>
        </w:rPr>
        <w:pict>
          <v:rect id="_x0000_s1136" style="position:absolute;margin-left:2.25pt;margin-top:432.2pt;width:438.75pt;height:104.25pt;z-index:251763712" filled="f" strokecolor="red"/>
        </w:pict>
      </w:r>
      <w:r w:rsidR="00EB2AA5" w:rsidRPr="00EB2AA5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610225" cy="6853158"/>
            <wp:effectExtent l="1905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035" cy="685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4A0" w:rsidRDefault="005C14A0" w:rsidP="00E56507">
      <w:pPr>
        <w:rPr>
          <w:rFonts w:ascii="Verdana" w:hAnsi="Verdana" w:cs="Verdana"/>
          <w:b/>
          <w:sz w:val="20"/>
          <w:szCs w:val="20"/>
        </w:rPr>
      </w:pPr>
      <w:r w:rsidRPr="005C14A0">
        <w:rPr>
          <w:rFonts w:ascii="Verdana" w:hAnsi="Verdana" w:cs="Verdana"/>
          <w:b/>
          <w:sz w:val="20"/>
          <w:szCs w:val="20"/>
          <w:u w:val="single"/>
        </w:rPr>
        <w:lastRenderedPageBreak/>
        <w:t>SCENARIO #3</w:t>
      </w:r>
      <w:r>
        <w:rPr>
          <w:rFonts w:ascii="Verdana" w:hAnsi="Verdana" w:cs="Verdana"/>
          <w:b/>
          <w:sz w:val="20"/>
          <w:szCs w:val="20"/>
        </w:rPr>
        <w:t xml:space="preserve"> - </w:t>
      </w:r>
      <w:r w:rsidR="00E33C60">
        <w:rPr>
          <w:rFonts w:ascii="Verdana" w:hAnsi="Verdana" w:cs="Verdana"/>
          <w:b/>
          <w:sz w:val="20"/>
          <w:szCs w:val="20"/>
        </w:rPr>
        <w:t xml:space="preserve">Employee is separating effective close of business 9/7/12 and is in payroll area Z3.  </w:t>
      </w:r>
      <w:r>
        <w:rPr>
          <w:rFonts w:ascii="Verdana" w:hAnsi="Verdana" w:cs="Verdana"/>
          <w:b/>
          <w:sz w:val="20"/>
          <w:szCs w:val="20"/>
        </w:rPr>
        <w:t xml:space="preserve">Employee has elected to </w:t>
      </w:r>
      <w:r w:rsidR="00A442BF">
        <w:rPr>
          <w:rFonts w:ascii="Verdana" w:hAnsi="Verdana" w:cs="Verdana"/>
          <w:b/>
          <w:sz w:val="20"/>
          <w:szCs w:val="20"/>
        </w:rPr>
        <w:t>contribute</w:t>
      </w:r>
      <w:r>
        <w:rPr>
          <w:rFonts w:ascii="Verdana" w:hAnsi="Verdana" w:cs="Verdana"/>
          <w:b/>
          <w:sz w:val="20"/>
          <w:szCs w:val="20"/>
        </w:rPr>
        <w:t xml:space="preserve"> $32</w:t>
      </w:r>
      <w:r w:rsidR="00A36BE1">
        <w:rPr>
          <w:rFonts w:ascii="Verdana" w:hAnsi="Verdana" w:cs="Verdana"/>
          <w:b/>
          <w:sz w:val="20"/>
          <w:szCs w:val="20"/>
        </w:rPr>
        <w:t>,</w:t>
      </w:r>
      <w:r>
        <w:rPr>
          <w:rFonts w:ascii="Verdana" w:hAnsi="Verdana" w:cs="Verdana"/>
          <w:b/>
          <w:sz w:val="20"/>
          <w:szCs w:val="20"/>
        </w:rPr>
        <w:t xml:space="preserve">200 of the leave payout into deferred compensation.  </w:t>
      </w:r>
      <w:r w:rsidR="00E80AEC">
        <w:rPr>
          <w:rFonts w:ascii="Verdana" w:hAnsi="Verdana" w:cs="Verdana"/>
          <w:b/>
          <w:sz w:val="20"/>
          <w:szCs w:val="20"/>
        </w:rPr>
        <w:t xml:space="preserve">An employee may elect to roll the leave payout into deferred compensation and/or Roth with the priority of deductions being the deferred compensation deduction will be taken first and any remaining from </w:t>
      </w:r>
      <w:r w:rsidR="001076FB">
        <w:rPr>
          <w:rFonts w:ascii="Verdana" w:hAnsi="Verdana" w:cs="Verdana"/>
          <w:b/>
          <w:sz w:val="20"/>
          <w:szCs w:val="20"/>
        </w:rPr>
        <w:t>Roth</w:t>
      </w:r>
      <w:r w:rsidR="00E80AEC">
        <w:rPr>
          <w:rFonts w:ascii="Verdana" w:hAnsi="Verdana" w:cs="Verdana"/>
          <w:b/>
          <w:sz w:val="20"/>
          <w:szCs w:val="20"/>
        </w:rPr>
        <w:t xml:space="preserve">.  </w:t>
      </w:r>
      <w:r>
        <w:rPr>
          <w:rFonts w:ascii="Verdana" w:hAnsi="Verdana" w:cs="Verdana"/>
          <w:b/>
          <w:sz w:val="20"/>
          <w:szCs w:val="20"/>
        </w:rPr>
        <w:t>THIS IS A MANUAL PROCESS AND WILL NOT COME THROUGH ON THE WEEKLY INTERFACE FILE.</w:t>
      </w:r>
    </w:p>
    <w:p w:rsidR="001076FB" w:rsidRDefault="001076FB" w:rsidP="00E56507">
      <w:pPr>
        <w:rPr>
          <w:rFonts w:ascii="Verdana" w:hAnsi="Verdana" w:cs="Verdana"/>
          <w:b/>
          <w:sz w:val="20"/>
          <w:szCs w:val="20"/>
        </w:rPr>
      </w:pPr>
    </w:p>
    <w:p w:rsidR="00EB2AA5" w:rsidRPr="005C14A0" w:rsidRDefault="00E33C60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Period 18/2012</w:t>
      </w:r>
      <w:r w:rsidR="001076FB"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A442BF">
        <w:rPr>
          <w:rFonts w:ascii="Verdana" w:hAnsi="Verdana" w:cs="Verdana"/>
          <w:sz w:val="20"/>
          <w:szCs w:val="20"/>
        </w:rPr>
        <w:t>T</w:t>
      </w:r>
      <w:r w:rsidR="005C14A0" w:rsidRPr="005C14A0">
        <w:rPr>
          <w:rFonts w:ascii="Verdana" w:hAnsi="Verdana" w:cs="Verdana"/>
          <w:sz w:val="20"/>
          <w:szCs w:val="20"/>
        </w:rPr>
        <w:t xml:space="preserve">his </w:t>
      </w:r>
      <w:r w:rsidRPr="005C14A0">
        <w:rPr>
          <w:rFonts w:ascii="Verdana" w:hAnsi="Verdana" w:cs="Verdana"/>
          <w:sz w:val="20"/>
          <w:szCs w:val="20"/>
        </w:rPr>
        <w:t>is the last pay prior to the separation and shows employee enrolled in DCMP (WT6E74) with a $100 deduction.</w:t>
      </w:r>
    </w:p>
    <w:p w:rsidR="00E33C60" w:rsidRDefault="00E33C60" w:rsidP="00E56507">
      <w:pPr>
        <w:rPr>
          <w:rFonts w:ascii="Verdana" w:hAnsi="Verdana" w:cs="Verdana"/>
          <w:b/>
          <w:sz w:val="20"/>
          <w:szCs w:val="20"/>
        </w:rPr>
      </w:pPr>
    </w:p>
    <w:p w:rsidR="00E33C60" w:rsidRDefault="001223FC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shape id="_x0000_s1148" type="#_x0000_t32" style="position:absolute;margin-left:357pt;margin-top:423.8pt;width:10.5pt;height:14.75pt;flip:y;z-index:251773952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45" style="position:absolute;margin-left:242.25pt;margin-top:411.05pt;width:114.75pt;height:45.75pt;z-index:251770880" fillcolor="white [3212]" strokecolor="red">
            <v:textbox>
              <w:txbxContent>
                <w:p w:rsidR="00DC389B" w:rsidRPr="00E33C60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33C60">
                    <w:rPr>
                      <w:rFonts w:ascii="Verdana" w:hAnsi="Verdana"/>
                      <w:sz w:val="20"/>
                      <w:szCs w:val="20"/>
                    </w:rPr>
                    <w:t>YTD $1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Pr="00E33C60">
                    <w:rPr>
                      <w:rFonts w:ascii="Verdana" w:hAnsi="Verdana"/>
                      <w:sz w:val="20"/>
                      <w:szCs w:val="20"/>
                    </w:rPr>
                    <w:t>800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-</w:t>
                  </w:r>
                  <w:r w:rsidRPr="00E33C60">
                    <w:rPr>
                      <w:rFonts w:ascii="Verdana" w:hAnsi="Verdana"/>
                      <w:sz w:val="20"/>
                      <w:szCs w:val="20"/>
                    </w:rPr>
                    <w:t xml:space="preserve"> Can defer an additional $32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Pr="00E33C60">
                    <w:rPr>
                      <w:rFonts w:ascii="Verdana" w:hAnsi="Verdana"/>
                      <w:sz w:val="20"/>
                      <w:szCs w:val="20"/>
                    </w:rPr>
                    <w:t>200</w:t>
                  </w:r>
                </w:p>
                <w:p w:rsidR="00DC389B" w:rsidRDefault="00DC389B"/>
              </w:txbxContent>
            </v:textbox>
          </v:rect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shape id="_x0000_s1147" type="#_x0000_t32" style="position:absolute;margin-left:104.25pt;margin-top:423.8pt;width:15.75pt;height:0;flip:x;z-index:251772928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43" style="position:absolute;margin-left:120pt;margin-top:411.05pt;width:64.5pt;height:21.75pt;z-index:251769856" fillcolor="white [3212]" strokecolor="red">
            <v:textbox>
              <w:txbxContent>
                <w:p w:rsidR="00DC389B" w:rsidRPr="00E33C60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33C60">
                    <w:rPr>
                      <w:rFonts w:ascii="Verdana" w:hAnsi="Verdana"/>
                      <w:sz w:val="20"/>
                      <w:szCs w:val="20"/>
                    </w:rPr>
                    <w:t>WT 6E74</w:t>
                  </w:r>
                </w:p>
              </w:txbxContent>
            </v:textbox>
          </v:rect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shape id="_x0000_s1146" type="#_x0000_t32" style="position:absolute;margin-left:189pt;margin-top:423.8pt;width:20.25pt;height:0;z-index:251771904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42" style="position:absolute;margin-left:0;margin-top:378.8pt;width:453pt;height:89.65pt;z-index:251768832" filled="f" strokecolor="red"/>
        </w:pict>
      </w:r>
      <w:r w:rsidR="00E33C60" w:rsidRPr="00E33C60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5705475" cy="60293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881" cy="603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A5" w:rsidRPr="005C14A0" w:rsidRDefault="004A22B8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IT0000 – Actions</w:t>
      </w:r>
      <w:r w:rsidR="001076FB">
        <w:rPr>
          <w:rFonts w:ascii="Verdana" w:hAnsi="Verdana" w:cs="Verdana"/>
          <w:b/>
          <w:sz w:val="20"/>
          <w:szCs w:val="20"/>
        </w:rPr>
        <w:t>:</w:t>
      </w:r>
      <w:r w:rsidR="005C14A0">
        <w:rPr>
          <w:rFonts w:ascii="Verdana" w:hAnsi="Verdana" w:cs="Verdana"/>
          <w:b/>
          <w:sz w:val="20"/>
          <w:szCs w:val="20"/>
        </w:rPr>
        <w:t xml:space="preserve"> </w:t>
      </w:r>
      <w:r w:rsidR="00A442BF">
        <w:rPr>
          <w:rFonts w:ascii="Verdana" w:hAnsi="Verdana" w:cs="Verdana"/>
          <w:sz w:val="20"/>
          <w:szCs w:val="20"/>
        </w:rPr>
        <w:t>T</w:t>
      </w:r>
      <w:r w:rsidR="005C14A0">
        <w:rPr>
          <w:rFonts w:ascii="Verdana" w:hAnsi="Verdana" w:cs="Verdana"/>
          <w:sz w:val="20"/>
          <w:szCs w:val="20"/>
        </w:rPr>
        <w:t>he separation action has been input effective 9/8/2012</w:t>
      </w:r>
      <w:r w:rsidR="001076FB">
        <w:rPr>
          <w:rFonts w:ascii="Verdana" w:hAnsi="Verdana" w:cs="Verdana"/>
          <w:sz w:val="20"/>
          <w:szCs w:val="20"/>
        </w:rPr>
        <w:t>.</w:t>
      </w:r>
    </w:p>
    <w:p w:rsidR="004A22B8" w:rsidRDefault="004A22B8" w:rsidP="00E56507">
      <w:pPr>
        <w:rPr>
          <w:rFonts w:ascii="Verdana" w:hAnsi="Verdana" w:cs="Verdana"/>
          <w:b/>
          <w:sz w:val="20"/>
          <w:szCs w:val="20"/>
        </w:rPr>
      </w:pPr>
    </w:p>
    <w:p w:rsidR="004A22B8" w:rsidRDefault="001223FC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rect id="_x0000_s1150" style="position:absolute;margin-left:15pt;margin-top:121.4pt;width:411.75pt;height:16.5pt;z-index:251774976" filled="f" strokecolor="red"/>
        </w:pict>
      </w:r>
      <w:r w:rsidR="004A22B8" w:rsidRPr="004A22B8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5429250" cy="2152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A5" w:rsidRDefault="00EB2AA5" w:rsidP="00E56507">
      <w:pPr>
        <w:rPr>
          <w:rFonts w:ascii="Verdana" w:hAnsi="Verdana" w:cs="Verdana"/>
          <w:b/>
          <w:sz w:val="20"/>
          <w:szCs w:val="20"/>
        </w:rPr>
      </w:pPr>
    </w:p>
    <w:p w:rsidR="00776DAA" w:rsidRDefault="00776DAA" w:rsidP="00E56507">
      <w:pPr>
        <w:rPr>
          <w:rFonts w:ascii="Verdana" w:hAnsi="Verdana" w:cs="Verdana"/>
          <w:b/>
          <w:sz w:val="20"/>
          <w:szCs w:val="20"/>
        </w:rPr>
      </w:pPr>
    </w:p>
    <w:p w:rsidR="00EB2AA5" w:rsidRPr="005C14A0" w:rsidRDefault="004A22B8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IT2012 – Time Transfer Specifications</w:t>
      </w:r>
      <w:r w:rsidR="001076FB"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A442BF">
        <w:rPr>
          <w:rFonts w:ascii="Verdana" w:hAnsi="Verdana" w:cs="Verdana"/>
          <w:sz w:val="20"/>
          <w:szCs w:val="20"/>
        </w:rPr>
        <w:t>T</w:t>
      </w:r>
      <w:r w:rsidR="005C14A0">
        <w:rPr>
          <w:rFonts w:ascii="Verdana" w:hAnsi="Verdana" w:cs="Verdana"/>
          <w:sz w:val="20"/>
          <w:szCs w:val="20"/>
        </w:rPr>
        <w:t>he leave p</w:t>
      </w:r>
      <w:r w:rsidRPr="005C14A0">
        <w:rPr>
          <w:rFonts w:ascii="Verdana" w:hAnsi="Verdana" w:cs="Verdana"/>
          <w:sz w:val="20"/>
          <w:szCs w:val="20"/>
        </w:rPr>
        <w:t xml:space="preserve">ayout must be unlocked before </w:t>
      </w:r>
      <w:r w:rsidR="005C14A0">
        <w:rPr>
          <w:rFonts w:ascii="Verdana" w:hAnsi="Verdana" w:cs="Verdana"/>
          <w:sz w:val="20"/>
          <w:szCs w:val="20"/>
        </w:rPr>
        <w:t xml:space="preserve">the deferred compensation catch-up record </w:t>
      </w:r>
      <w:r w:rsidRPr="005C14A0">
        <w:rPr>
          <w:rFonts w:ascii="Verdana" w:hAnsi="Verdana" w:cs="Verdana"/>
          <w:sz w:val="20"/>
          <w:szCs w:val="20"/>
        </w:rPr>
        <w:t>can be input.</w:t>
      </w:r>
    </w:p>
    <w:p w:rsidR="004A22B8" w:rsidRDefault="004A22B8" w:rsidP="00E56507">
      <w:pPr>
        <w:rPr>
          <w:rFonts w:ascii="Verdana" w:hAnsi="Verdana" w:cs="Verdana"/>
          <w:b/>
          <w:sz w:val="20"/>
          <w:szCs w:val="20"/>
        </w:rPr>
      </w:pPr>
    </w:p>
    <w:p w:rsidR="004A22B8" w:rsidRDefault="001223FC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shape id="_x0000_s1178" type="#_x0000_t32" style="position:absolute;margin-left:378.75pt;margin-top:182.5pt;width:27pt;height:23.2pt;flip:x;z-index:251804672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  <w:lang w:eastAsia="zh-TW"/>
        </w:rPr>
        <w:pict>
          <v:shape id="_x0000_s1177" type="#_x0000_t202" style="position:absolute;margin-left:317.5pt;margin-top:156.95pt;width:122.75pt;height:25.55pt;z-index:251803648;mso-width-relative:margin;mso-height-relative:margin" strokecolor="red">
            <v:textbox>
              <w:txbxContent>
                <w:p w:rsidR="00DC389B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Unlock leave record</w:t>
                  </w:r>
                </w:p>
                <w:p w:rsidR="00DC389B" w:rsidRPr="00481A6E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51" style="position:absolute;margin-left:15pt;margin-top:197.3pt;width:363.75pt;height:16.5pt;z-index:251776000" filled="f" strokecolor="red"/>
        </w:pict>
      </w:r>
      <w:r w:rsidR="004A22B8" w:rsidRPr="004A22B8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5334000" cy="31623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B8" w:rsidRDefault="004A22B8" w:rsidP="00E56507">
      <w:pPr>
        <w:rPr>
          <w:rFonts w:ascii="Verdana" w:hAnsi="Verdana" w:cs="Verdana"/>
          <w:b/>
          <w:sz w:val="20"/>
          <w:szCs w:val="20"/>
        </w:rPr>
      </w:pPr>
    </w:p>
    <w:p w:rsidR="004A22B8" w:rsidRDefault="004A22B8" w:rsidP="00E56507">
      <w:pPr>
        <w:rPr>
          <w:rFonts w:ascii="Verdana" w:hAnsi="Verdana" w:cs="Verdana"/>
          <w:b/>
          <w:sz w:val="20"/>
          <w:szCs w:val="20"/>
        </w:rPr>
      </w:pPr>
    </w:p>
    <w:p w:rsidR="00EB2AA5" w:rsidRDefault="00EB2AA5" w:rsidP="00E56507">
      <w:pPr>
        <w:rPr>
          <w:rFonts w:ascii="Verdana" w:hAnsi="Verdana" w:cs="Verdana"/>
          <w:b/>
          <w:sz w:val="20"/>
          <w:szCs w:val="20"/>
        </w:rPr>
      </w:pPr>
    </w:p>
    <w:p w:rsidR="00EB2AA5" w:rsidRDefault="00EB2AA5" w:rsidP="00E56507">
      <w:pPr>
        <w:rPr>
          <w:rFonts w:ascii="Verdana" w:hAnsi="Verdana" w:cs="Verdana"/>
          <w:b/>
          <w:sz w:val="20"/>
          <w:szCs w:val="20"/>
        </w:rPr>
      </w:pPr>
    </w:p>
    <w:p w:rsidR="00EB2AA5" w:rsidRDefault="00EB2AA5" w:rsidP="00E56507">
      <w:pPr>
        <w:rPr>
          <w:rFonts w:ascii="Verdana" w:hAnsi="Verdana" w:cs="Verdana"/>
          <w:b/>
          <w:sz w:val="20"/>
          <w:szCs w:val="20"/>
        </w:rPr>
      </w:pPr>
    </w:p>
    <w:p w:rsidR="001B31BE" w:rsidRDefault="001B31BE" w:rsidP="00E56507">
      <w:pPr>
        <w:rPr>
          <w:rFonts w:ascii="Verdana" w:hAnsi="Verdana" w:cs="Verdana"/>
          <w:b/>
          <w:sz w:val="20"/>
          <w:szCs w:val="20"/>
        </w:rPr>
      </w:pPr>
    </w:p>
    <w:p w:rsidR="001B31BE" w:rsidRDefault="001B31BE" w:rsidP="00E56507">
      <w:pPr>
        <w:rPr>
          <w:rFonts w:ascii="Verdana" w:hAnsi="Verdana" w:cs="Verdana"/>
          <w:b/>
          <w:sz w:val="20"/>
          <w:szCs w:val="20"/>
        </w:rPr>
      </w:pPr>
    </w:p>
    <w:p w:rsidR="001B31BE" w:rsidRDefault="001223FC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rect id="_x0000_s1088" style="position:absolute;margin-left:44.25pt;margin-top:384.65pt;width:176.25pt;height:35.25pt;z-index:251716608" filled="f" strokecolor="red"/>
        </w:pict>
      </w:r>
    </w:p>
    <w:p w:rsidR="001B31BE" w:rsidRPr="005C14A0" w:rsidRDefault="004A22B8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HRBEN0001 – Benefit Enrollment</w:t>
      </w:r>
      <w:r w:rsidR="001076FB"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A442BF">
        <w:rPr>
          <w:rFonts w:ascii="Verdana" w:hAnsi="Verdana" w:cs="Verdana"/>
          <w:sz w:val="20"/>
          <w:szCs w:val="20"/>
        </w:rPr>
        <w:t>T</w:t>
      </w:r>
      <w:r w:rsidR="005C14A0">
        <w:rPr>
          <w:rFonts w:ascii="Verdana" w:hAnsi="Verdana" w:cs="Verdana"/>
          <w:sz w:val="20"/>
          <w:szCs w:val="20"/>
        </w:rPr>
        <w:t>he enrollment for the l</w:t>
      </w:r>
      <w:r w:rsidRPr="005C14A0">
        <w:rPr>
          <w:rFonts w:ascii="Verdana" w:hAnsi="Verdana" w:cs="Verdana"/>
          <w:sz w:val="20"/>
          <w:szCs w:val="20"/>
        </w:rPr>
        <w:t>eave rollover must be effective the pay period in which the leave will be paid.  If leave is unlocked timely, the leave will pay with the final pay.</w:t>
      </w:r>
      <w:r w:rsidR="005C14A0">
        <w:rPr>
          <w:rFonts w:ascii="Verdana" w:hAnsi="Verdana" w:cs="Verdana"/>
          <w:sz w:val="20"/>
          <w:szCs w:val="20"/>
        </w:rPr>
        <w:t xml:space="preserve">  In this example, the leave will pay on 9/21/2012 so the enrollment is effective 8/25/12.</w:t>
      </w:r>
    </w:p>
    <w:p w:rsidR="004A22B8" w:rsidRDefault="004A22B8" w:rsidP="00E56507">
      <w:pPr>
        <w:rPr>
          <w:rFonts w:ascii="Verdana" w:hAnsi="Verdana" w:cs="Verdana"/>
          <w:b/>
          <w:sz w:val="20"/>
          <w:szCs w:val="20"/>
        </w:rPr>
      </w:pPr>
    </w:p>
    <w:p w:rsidR="004A22B8" w:rsidRDefault="001223FC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shape id="_x0000_s1153" type="#_x0000_t32" style="position:absolute;margin-left:321.75pt;margin-top:31.65pt;width:24.75pt;height:48.75pt;flip:x y;z-index:251778048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55" style="position:absolute;margin-left:39pt;margin-top:241.1pt;width:328.5pt;height:14.25pt;z-index:251780096" filled="f" strokecolor="red"/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54" style="position:absolute;margin-left:337.5pt;margin-top:84.15pt;width:151.5pt;height:48.2pt;z-index:251779072" fillcolor="white [3212]" strokecolor="red">
            <v:textbox>
              <w:txbxContent>
                <w:p w:rsidR="00DC389B" w:rsidRPr="00DC7E37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DC7E37">
                    <w:rPr>
                      <w:rFonts w:ascii="Verdana" w:hAnsi="Verdana"/>
                      <w:sz w:val="20"/>
                      <w:szCs w:val="20"/>
                    </w:rPr>
                    <w:t>Change date to beginning of pay period in which the leave will pay</w:t>
                  </w:r>
                </w:p>
              </w:txbxContent>
            </v:textbox>
          </v:rect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52" style="position:absolute;margin-left:243.75pt;margin-top:15.9pt;width:78pt;height:15.75pt;z-index:251777024" filled="f" strokecolor="red"/>
        </w:pict>
      </w:r>
      <w:r w:rsidR="00B35FD1" w:rsidRPr="00B35FD1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5143500" cy="38195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1BE" w:rsidRDefault="001B31BE" w:rsidP="00E56507">
      <w:pPr>
        <w:rPr>
          <w:rFonts w:ascii="Verdana" w:hAnsi="Verdana" w:cs="Verdana"/>
          <w:b/>
          <w:sz w:val="20"/>
          <w:szCs w:val="20"/>
        </w:rPr>
      </w:pPr>
    </w:p>
    <w:p w:rsidR="001076FB" w:rsidRDefault="001076FB" w:rsidP="00E56507">
      <w:pPr>
        <w:rPr>
          <w:rFonts w:ascii="Verdana" w:hAnsi="Verdana" w:cs="Verdana"/>
          <w:b/>
          <w:sz w:val="20"/>
          <w:szCs w:val="20"/>
        </w:rPr>
      </w:pPr>
    </w:p>
    <w:p w:rsidR="001B31BE" w:rsidRDefault="00DC7E37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NOTE:  </w:t>
      </w:r>
      <w:r>
        <w:rPr>
          <w:rFonts w:ascii="Verdana" w:hAnsi="Verdana" w:cs="Verdana"/>
          <w:sz w:val="20"/>
          <w:szCs w:val="20"/>
        </w:rPr>
        <w:t>The record above</w:t>
      </w:r>
      <w:r w:rsidR="001076F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dated 8/25/2012-9/7/</w:t>
      </w:r>
      <w:proofErr w:type="gramStart"/>
      <w:r>
        <w:rPr>
          <w:rFonts w:ascii="Verdana" w:hAnsi="Verdana" w:cs="Verdana"/>
          <w:sz w:val="20"/>
          <w:szCs w:val="20"/>
        </w:rPr>
        <w:t>2012</w:t>
      </w:r>
      <w:r w:rsidR="001076FB">
        <w:rPr>
          <w:rFonts w:ascii="Verdana" w:hAnsi="Verdana" w:cs="Verdana"/>
          <w:sz w:val="20"/>
          <w:szCs w:val="20"/>
        </w:rPr>
        <w:t>,</w:t>
      </w:r>
      <w:proofErr w:type="gramEnd"/>
      <w:r>
        <w:rPr>
          <w:rFonts w:ascii="Verdana" w:hAnsi="Verdana" w:cs="Verdana"/>
          <w:sz w:val="20"/>
          <w:szCs w:val="20"/>
        </w:rPr>
        <w:t xml:space="preserve"> is the current record that was delimited with the separation in SAP.  Because there is no longer a </w:t>
      </w:r>
      <w:r w:rsidR="005C14A0">
        <w:rPr>
          <w:rFonts w:ascii="Verdana" w:hAnsi="Verdana" w:cs="Verdana"/>
          <w:sz w:val="20"/>
          <w:szCs w:val="20"/>
        </w:rPr>
        <w:t xml:space="preserve">separate </w:t>
      </w:r>
      <w:r>
        <w:rPr>
          <w:rFonts w:ascii="Verdana" w:hAnsi="Verdana" w:cs="Verdana"/>
          <w:sz w:val="20"/>
          <w:szCs w:val="20"/>
        </w:rPr>
        <w:t xml:space="preserve">Deferred Compensation Catch-up plan, </w:t>
      </w:r>
      <w:r w:rsidR="0054515A">
        <w:rPr>
          <w:rFonts w:ascii="Verdana" w:hAnsi="Verdana" w:cs="Verdana"/>
          <w:sz w:val="20"/>
          <w:szCs w:val="20"/>
        </w:rPr>
        <w:t>the user will select</w:t>
      </w:r>
      <w:r>
        <w:rPr>
          <w:rFonts w:ascii="Verdana" w:hAnsi="Verdana" w:cs="Verdana"/>
          <w:sz w:val="20"/>
          <w:szCs w:val="20"/>
        </w:rPr>
        <w:t xml:space="preserve"> the current record to override the current amount with the leave rollover amount</w:t>
      </w:r>
      <w:r w:rsidR="0054515A">
        <w:rPr>
          <w:rFonts w:ascii="Verdana" w:hAnsi="Verdana" w:cs="Verdana"/>
          <w:sz w:val="20"/>
          <w:szCs w:val="20"/>
        </w:rPr>
        <w:t xml:space="preserve">.  If the </w:t>
      </w:r>
      <w:r>
        <w:rPr>
          <w:rFonts w:ascii="Verdana" w:hAnsi="Verdana" w:cs="Verdana"/>
          <w:sz w:val="20"/>
          <w:szCs w:val="20"/>
        </w:rPr>
        <w:t xml:space="preserve">leave does not pay timely, you would </w:t>
      </w:r>
      <w:r w:rsidR="0054515A">
        <w:rPr>
          <w:rFonts w:ascii="Verdana" w:hAnsi="Verdana" w:cs="Verdana"/>
          <w:sz w:val="20"/>
          <w:szCs w:val="20"/>
        </w:rPr>
        <w:t xml:space="preserve">create a new record based on </w:t>
      </w:r>
      <w:r>
        <w:rPr>
          <w:rFonts w:ascii="Verdana" w:hAnsi="Verdana" w:cs="Verdana"/>
          <w:sz w:val="20"/>
          <w:szCs w:val="20"/>
        </w:rPr>
        <w:t xml:space="preserve">the first day of the pay period in which the leave pays.  </w:t>
      </w:r>
    </w:p>
    <w:p w:rsidR="00DC7E37" w:rsidRDefault="00DC7E37" w:rsidP="00E56507">
      <w:pPr>
        <w:rPr>
          <w:rFonts w:ascii="Verdana" w:hAnsi="Verdana" w:cs="Verdana"/>
          <w:sz w:val="20"/>
          <w:szCs w:val="20"/>
        </w:rPr>
      </w:pPr>
    </w:p>
    <w:p w:rsidR="00DC7E37" w:rsidRDefault="00DC7E37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the employee is electing to use the Roth 457 plan for the leave rollover, you would select that plan option and enter the amount</w:t>
      </w:r>
      <w:r w:rsidR="001076FB">
        <w:rPr>
          <w:rFonts w:ascii="Verdana" w:hAnsi="Verdana" w:cs="Verdana"/>
          <w:sz w:val="20"/>
          <w:szCs w:val="20"/>
        </w:rPr>
        <w:t xml:space="preserve"> in the “Post-tax contribution b</w:t>
      </w:r>
      <w:r>
        <w:rPr>
          <w:rFonts w:ascii="Verdana" w:hAnsi="Verdana" w:cs="Verdana"/>
          <w:sz w:val="20"/>
          <w:szCs w:val="20"/>
        </w:rPr>
        <w:t>i-weekly” field.</w:t>
      </w:r>
      <w:r w:rsidR="005C14A0">
        <w:rPr>
          <w:rFonts w:ascii="Verdana" w:hAnsi="Verdana" w:cs="Verdana"/>
          <w:sz w:val="20"/>
          <w:szCs w:val="20"/>
        </w:rPr>
        <w:t xml:space="preserve">  An employee may also elect both deferred compensation and Roth for the leave rollover; however, the deferred compensation deduction will be taken first.</w:t>
      </w:r>
    </w:p>
    <w:p w:rsidR="00DC7E37" w:rsidRDefault="00DC7E37" w:rsidP="00E56507">
      <w:pPr>
        <w:rPr>
          <w:rFonts w:ascii="Verdana" w:hAnsi="Verdana" w:cs="Verdana"/>
          <w:sz w:val="20"/>
          <w:szCs w:val="20"/>
        </w:rPr>
      </w:pPr>
    </w:p>
    <w:p w:rsidR="00DC7E37" w:rsidRDefault="00DC7E37" w:rsidP="00E56507">
      <w:pPr>
        <w:rPr>
          <w:rFonts w:ascii="Verdana" w:hAnsi="Verdana" w:cs="Verdana"/>
          <w:b/>
          <w:sz w:val="20"/>
          <w:szCs w:val="20"/>
        </w:rPr>
      </w:pPr>
    </w:p>
    <w:p w:rsidR="001B31BE" w:rsidRDefault="001B31BE" w:rsidP="00E56507">
      <w:pPr>
        <w:rPr>
          <w:rFonts w:ascii="Verdana" w:hAnsi="Verdana" w:cs="Verdana"/>
          <w:b/>
          <w:sz w:val="20"/>
          <w:szCs w:val="20"/>
        </w:rPr>
      </w:pPr>
    </w:p>
    <w:p w:rsidR="001B31BE" w:rsidRDefault="001B31BE" w:rsidP="00E56507">
      <w:pPr>
        <w:rPr>
          <w:rFonts w:ascii="Verdana" w:hAnsi="Verdana" w:cs="Verdana"/>
          <w:b/>
          <w:sz w:val="20"/>
          <w:szCs w:val="20"/>
        </w:rPr>
      </w:pPr>
    </w:p>
    <w:p w:rsidR="00A306E2" w:rsidRDefault="00A306E2" w:rsidP="00E56507">
      <w:pPr>
        <w:rPr>
          <w:rFonts w:ascii="Verdana" w:hAnsi="Verdana" w:cs="Verdana"/>
          <w:b/>
          <w:sz w:val="20"/>
          <w:szCs w:val="20"/>
        </w:rPr>
      </w:pPr>
    </w:p>
    <w:p w:rsidR="00DC7E37" w:rsidRDefault="00DC7E37" w:rsidP="00E56507">
      <w:pPr>
        <w:rPr>
          <w:rFonts w:ascii="Verdana" w:hAnsi="Verdana" w:cs="Verdana"/>
          <w:b/>
          <w:sz w:val="20"/>
          <w:szCs w:val="20"/>
        </w:rPr>
      </w:pPr>
    </w:p>
    <w:p w:rsidR="00DC7E37" w:rsidRDefault="00DC7E37" w:rsidP="00E56507">
      <w:pPr>
        <w:rPr>
          <w:rFonts w:ascii="Verdana" w:hAnsi="Verdana" w:cs="Verdana"/>
          <w:b/>
          <w:sz w:val="20"/>
          <w:szCs w:val="20"/>
        </w:rPr>
      </w:pPr>
    </w:p>
    <w:p w:rsidR="00DC7E37" w:rsidRDefault="00DC7E37" w:rsidP="00E56507">
      <w:pPr>
        <w:rPr>
          <w:rFonts w:ascii="Verdana" w:hAnsi="Verdana" w:cs="Verdana"/>
          <w:b/>
          <w:sz w:val="20"/>
          <w:szCs w:val="20"/>
        </w:rPr>
      </w:pPr>
    </w:p>
    <w:p w:rsidR="00DC7E37" w:rsidRDefault="00DC7E37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Enter the amount of the rollover amount from the </w:t>
      </w:r>
      <w:r w:rsidR="005C14A0">
        <w:rPr>
          <w:rFonts w:ascii="Verdana" w:hAnsi="Verdana" w:cs="Verdana"/>
          <w:sz w:val="20"/>
          <w:szCs w:val="20"/>
        </w:rPr>
        <w:t>Salary Deferral F</w:t>
      </w:r>
      <w:r>
        <w:rPr>
          <w:rFonts w:ascii="Verdana" w:hAnsi="Verdana" w:cs="Verdana"/>
          <w:sz w:val="20"/>
          <w:szCs w:val="20"/>
        </w:rPr>
        <w:t>orm.</w:t>
      </w:r>
    </w:p>
    <w:p w:rsidR="00DC7E37" w:rsidRDefault="00DC7E37" w:rsidP="00E56507">
      <w:pPr>
        <w:rPr>
          <w:rFonts w:ascii="Verdana" w:hAnsi="Verdana" w:cs="Verdana"/>
          <w:sz w:val="20"/>
          <w:szCs w:val="20"/>
        </w:rPr>
      </w:pPr>
    </w:p>
    <w:p w:rsidR="00DC7E37" w:rsidRPr="00DC7E37" w:rsidRDefault="001223FC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pict>
          <v:shape id="_x0000_s1180" type="#_x0000_t32" style="position:absolute;margin-left:201pt;margin-top:414.65pt;width:25.5pt;height:17.25pt;flip:x;z-index:251806720" o:connectortype="straight">
            <v:stroke endarrow="block"/>
          </v:shape>
        </w:pict>
      </w:r>
      <w:r>
        <w:rPr>
          <w:rFonts w:ascii="Verdana" w:hAnsi="Verdana" w:cs="Verdana"/>
          <w:noProof/>
          <w:sz w:val="20"/>
          <w:szCs w:val="20"/>
        </w:rPr>
        <w:pict>
          <v:rect id="_x0000_s1156" style="position:absolute;margin-left:55.5pt;margin-top:422.15pt;width:145.5pt;height:33pt;z-index:251781120" filled="f" strokecolor="red"/>
        </w:pict>
      </w:r>
      <w:r>
        <w:rPr>
          <w:rFonts w:ascii="Verdana" w:hAnsi="Verdana" w:cs="Verdana"/>
          <w:noProof/>
          <w:sz w:val="20"/>
          <w:szCs w:val="20"/>
        </w:rPr>
        <w:pict>
          <v:rect id="_x0000_s1179" style="position:absolute;margin-left:176.25pt;margin-top:370.4pt;width:148.5pt;height:44.25pt;z-index:251805696" strokecolor="red">
            <v:textbox>
              <w:txbxContent>
                <w:p w:rsidR="00DC389B" w:rsidRPr="00E04E77" w:rsidRDefault="00DC389B" w:rsidP="00E04E7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04E77">
                    <w:rPr>
                      <w:rFonts w:ascii="Verdana" w:hAnsi="Verdana"/>
                      <w:sz w:val="20"/>
                      <w:szCs w:val="20"/>
                    </w:rPr>
                    <w:t>Enter the amount of the rollover amount from the Salary Deferral Form</w:t>
                  </w:r>
                </w:p>
                <w:p w:rsidR="00DC389B" w:rsidRDefault="00DC389B"/>
              </w:txbxContent>
            </v:textbox>
          </v:rect>
        </w:pict>
      </w:r>
      <w:r w:rsidR="00DC7E37" w:rsidRPr="00DC7E37">
        <w:rPr>
          <w:rFonts w:ascii="Verdana" w:hAnsi="Verdana" w:cs="Verdana"/>
          <w:noProof/>
          <w:sz w:val="20"/>
          <w:szCs w:val="20"/>
        </w:rPr>
        <w:drawing>
          <wp:inline distT="0" distB="0" distL="0" distR="0">
            <wp:extent cx="4203920" cy="7258050"/>
            <wp:effectExtent l="19050" t="0" r="613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2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37" w:rsidRPr="00D57DD9" w:rsidRDefault="0054515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IT</w:t>
      </w:r>
      <w:r w:rsidR="00452FDA">
        <w:rPr>
          <w:rFonts w:ascii="Verdana" w:hAnsi="Verdana" w:cs="Verdana"/>
          <w:b/>
          <w:sz w:val="20"/>
          <w:szCs w:val="20"/>
        </w:rPr>
        <w:t>0169</w:t>
      </w:r>
      <w:r w:rsidR="001076FB">
        <w:rPr>
          <w:rFonts w:ascii="Verdana" w:hAnsi="Verdana" w:cs="Verdana"/>
          <w:b/>
          <w:sz w:val="20"/>
          <w:szCs w:val="20"/>
        </w:rPr>
        <w:t xml:space="preserve"> – </w:t>
      </w:r>
      <w:r w:rsidR="00744B96" w:rsidRPr="00023CA1">
        <w:rPr>
          <w:rFonts w:ascii="Verdana" w:hAnsi="Verdana" w:cs="Verdana"/>
          <w:b/>
          <w:sz w:val="20"/>
          <w:szCs w:val="20"/>
        </w:rPr>
        <w:t>Savings Plan</w:t>
      </w:r>
      <w:r w:rsidR="001076FB">
        <w:rPr>
          <w:rFonts w:ascii="Verdana" w:hAnsi="Verdana" w:cs="Verdana"/>
          <w:b/>
          <w:sz w:val="20"/>
          <w:szCs w:val="20"/>
        </w:rPr>
        <w:t>:</w:t>
      </w:r>
      <w:r w:rsidR="00452FDA">
        <w:rPr>
          <w:rFonts w:ascii="Verdana" w:hAnsi="Verdana" w:cs="Verdana"/>
          <w:b/>
          <w:sz w:val="20"/>
          <w:szCs w:val="20"/>
        </w:rPr>
        <w:t xml:space="preserve"> </w:t>
      </w:r>
      <w:r w:rsidR="00452FDA" w:rsidRPr="00D57DD9">
        <w:rPr>
          <w:rFonts w:ascii="Verdana" w:hAnsi="Verdana" w:cs="Verdana"/>
          <w:sz w:val="20"/>
          <w:szCs w:val="20"/>
        </w:rPr>
        <w:t>Record shows effective dates of 8/25/12 to 9/7/12 with an amount of $32</w:t>
      </w:r>
      <w:r w:rsidR="00A36BE1">
        <w:rPr>
          <w:rFonts w:ascii="Verdana" w:hAnsi="Verdana" w:cs="Verdana"/>
          <w:sz w:val="20"/>
          <w:szCs w:val="20"/>
        </w:rPr>
        <w:t>,</w:t>
      </w:r>
      <w:r w:rsidR="00452FDA" w:rsidRPr="00D57DD9">
        <w:rPr>
          <w:rFonts w:ascii="Verdana" w:hAnsi="Verdana" w:cs="Verdana"/>
          <w:sz w:val="20"/>
          <w:szCs w:val="20"/>
        </w:rPr>
        <w:t xml:space="preserve">200.  Please note </w:t>
      </w:r>
      <w:r w:rsidR="00D57DD9">
        <w:rPr>
          <w:rFonts w:ascii="Verdana" w:hAnsi="Verdana" w:cs="Verdana"/>
          <w:sz w:val="20"/>
          <w:szCs w:val="20"/>
        </w:rPr>
        <w:t xml:space="preserve">you are </w:t>
      </w:r>
      <w:r w:rsidR="00D57DD9" w:rsidRPr="001076FB">
        <w:rPr>
          <w:rFonts w:ascii="Verdana" w:hAnsi="Verdana" w:cs="Verdana"/>
          <w:sz w:val="20"/>
          <w:szCs w:val="20"/>
          <w:u w:val="single"/>
        </w:rPr>
        <w:t>no longer required</w:t>
      </w:r>
      <w:r w:rsidR="00D57DD9">
        <w:rPr>
          <w:rFonts w:ascii="Verdana" w:hAnsi="Verdana" w:cs="Verdana"/>
          <w:sz w:val="20"/>
          <w:szCs w:val="20"/>
        </w:rPr>
        <w:t xml:space="preserve"> to change the end date on the leave rollover record </w:t>
      </w:r>
      <w:r>
        <w:rPr>
          <w:rFonts w:ascii="Verdana" w:hAnsi="Verdana" w:cs="Verdana"/>
          <w:sz w:val="20"/>
          <w:szCs w:val="20"/>
        </w:rPr>
        <w:t>unless the</w:t>
      </w:r>
      <w:r w:rsidR="00452FDA" w:rsidRPr="00D57DD9">
        <w:rPr>
          <w:rFonts w:ascii="Verdana" w:hAnsi="Verdana" w:cs="Verdana"/>
          <w:sz w:val="20"/>
          <w:szCs w:val="20"/>
        </w:rPr>
        <w:t xml:space="preserve"> leave </w:t>
      </w:r>
      <w:r w:rsidR="00D57DD9">
        <w:rPr>
          <w:rFonts w:ascii="Verdana" w:hAnsi="Verdana" w:cs="Verdana"/>
          <w:sz w:val="20"/>
          <w:szCs w:val="20"/>
        </w:rPr>
        <w:t xml:space="preserve">payout </w:t>
      </w:r>
      <w:r w:rsidR="00452FDA" w:rsidRPr="00D57DD9">
        <w:rPr>
          <w:rFonts w:ascii="Verdana" w:hAnsi="Verdana" w:cs="Verdana"/>
          <w:sz w:val="20"/>
          <w:szCs w:val="20"/>
        </w:rPr>
        <w:t xml:space="preserve">does not pay timely with the final </w:t>
      </w:r>
      <w:r w:rsidR="00D57DD9">
        <w:rPr>
          <w:rFonts w:ascii="Verdana" w:hAnsi="Verdana" w:cs="Verdana"/>
          <w:sz w:val="20"/>
          <w:szCs w:val="20"/>
        </w:rPr>
        <w:t>pay</w:t>
      </w:r>
      <w:r>
        <w:rPr>
          <w:rFonts w:ascii="Verdana" w:hAnsi="Verdana" w:cs="Verdana"/>
          <w:sz w:val="20"/>
          <w:szCs w:val="20"/>
        </w:rPr>
        <w:t xml:space="preserve"> and a new enrollment must be created</w:t>
      </w:r>
      <w:r w:rsidR="00452FDA" w:rsidRPr="00D57DD9">
        <w:rPr>
          <w:rFonts w:ascii="Verdana" w:hAnsi="Verdana" w:cs="Verdana"/>
          <w:sz w:val="20"/>
          <w:szCs w:val="20"/>
        </w:rPr>
        <w:t xml:space="preserve">.  In those cases, the end date would be 12/31/9999 </w:t>
      </w:r>
      <w:r w:rsidR="00D57DD9">
        <w:rPr>
          <w:rFonts w:ascii="Verdana" w:hAnsi="Verdana" w:cs="Verdana"/>
          <w:sz w:val="20"/>
          <w:szCs w:val="20"/>
        </w:rPr>
        <w:t xml:space="preserve">when the enrollment is performed </w:t>
      </w:r>
      <w:r w:rsidR="00452FDA" w:rsidRPr="00D57DD9">
        <w:rPr>
          <w:rFonts w:ascii="Verdana" w:hAnsi="Verdana" w:cs="Verdana"/>
          <w:sz w:val="20"/>
          <w:szCs w:val="20"/>
        </w:rPr>
        <w:t xml:space="preserve">and would need </w:t>
      </w:r>
      <w:r w:rsidR="00D57DD9">
        <w:rPr>
          <w:rFonts w:ascii="Verdana" w:hAnsi="Verdana" w:cs="Verdana"/>
          <w:sz w:val="20"/>
          <w:szCs w:val="20"/>
        </w:rPr>
        <w:t>changed</w:t>
      </w:r>
      <w:r w:rsidR="00452FDA" w:rsidRPr="00D57DD9">
        <w:rPr>
          <w:rFonts w:ascii="Verdana" w:hAnsi="Verdana" w:cs="Verdana"/>
          <w:sz w:val="20"/>
          <w:szCs w:val="20"/>
        </w:rPr>
        <w:t xml:space="preserve"> </w:t>
      </w:r>
      <w:r w:rsidR="00D57DD9">
        <w:rPr>
          <w:rFonts w:ascii="Verdana" w:hAnsi="Verdana" w:cs="Verdana"/>
          <w:sz w:val="20"/>
          <w:szCs w:val="20"/>
        </w:rPr>
        <w:t xml:space="preserve">thru a PA30 </w:t>
      </w:r>
      <w:r w:rsidR="00452FDA" w:rsidRPr="00D57DD9">
        <w:rPr>
          <w:rFonts w:ascii="Verdana" w:hAnsi="Verdana" w:cs="Verdana"/>
          <w:sz w:val="20"/>
          <w:szCs w:val="20"/>
        </w:rPr>
        <w:t>to reflect the last day in the pay period.</w:t>
      </w:r>
    </w:p>
    <w:p w:rsidR="00DC7E37" w:rsidRDefault="00DC7E37" w:rsidP="00E56507">
      <w:pPr>
        <w:rPr>
          <w:rFonts w:ascii="Verdana" w:hAnsi="Verdana" w:cs="Verdana"/>
          <w:b/>
          <w:sz w:val="20"/>
          <w:szCs w:val="20"/>
        </w:rPr>
      </w:pPr>
    </w:p>
    <w:p w:rsidR="00DC7E37" w:rsidRDefault="001223FC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shape id="_x0000_s1182" type="#_x0000_t32" style="position:absolute;margin-left:207.75pt;margin-top:114.8pt;width:22.5pt;height:36pt;flip:x y;z-index:251808768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81" style="position:absolute;margin-left:230.25pt;margin-top:131.3pt;width:143.25pt;height:36.75pt;z-index:251807744" strokecolor="red">
            <v:textbox>
              <w:txbxContent>
                <w:p w:rsidR="00DC389B" w:rsidRPr="00B75924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75924">
                    <w:rPr>
                      <w:rFonts w:ascii="Verdana" w:hAnsi="Verdana"/>
                      <w:sz w:val="20"/>
                      <w:szCs w:val="20"/>
                    </w:rPr>
                    <w:t>Only change end date if it ref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lects 12/31/</w:t>
                  </w:r>
                  <w:r w:rsidRPr="00B75924">
                    <w:rPr>
                      <w:rFonts w:ascii="Verdana" w:hAnsi="Verdana"/>
                      <w:sz w:val="20"/>
                      <w:szCs w:val="20"/>
                    </w:rPr>
                    <w:t>9999</w:t>
                  </w:r>
                </w:p>
              </w:txbxContent>
            </v:textbox>
          </v:rect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58" style="position:absolute;margin-left:6pt;margin-top:200.6pt;width:156pt;height:33pt;z-index:251783168" filled="f" strokecolor="red"/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57" style="position:absolute;margin-left:59.25pt;margin-top:98.6pt;width:171pt;height:23.25pt;z-index:251782144" filled="f" strokecolor="red"/>
        </w:pict>
      </w:r>
      <w:r w:rsidR="00452FDA" w:rsidRPr="00452FDA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5514975" cy="436245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37" w:rsidRDefault="00DC7E37" w:rsidP="00E56507">
      <w:pPr>
        <w:rPr>
          <w:rFonts w:ascii="Verdana" w:hAnsi="Verdana" w:cs="Verdana"/>
          <w:b/>
          <w:sz w:val="20"/>
          <w:szCs w:val="20"/>
        </w:rPr>
      </w:pPr>
    </w:p>
    <w:p w:rsidR="00DC7E37" w:rsidRDefault="00DC7E37" w:rsidP="00E56507">
      <w:pPr>
        <w:rPr>
          <w:rFonts w:ascii="Verdana" w:hAnsi="Verdana" w:cs="Verdana"/>
          <w:b/>
          <w:sz w:val="20"/>
          <w:szCs w:val="20"/>
        </w:rPr>
      </w:pPr>
    </w:p>
    <w:p w:rsidR="00452FDA" w:rsidRDefault="00452FDA" w:rsidP="00452FDA"/>
    <w:p w:rsidR="00452FDA" w:rsidRDefault="00452FDA" w:rsidP="00452FDA"/>
    <w:p w:rsidR="00452FDA" w:rsidRDefault="00452FDA" w:rsidP="00452FDA"/>
    <w:p w:rsidR="00452FDA" w:rsidRDefault="00452FDA" w:rsidP="00452FDA"/>
    <w:p w:rsidR="00452FDA" w:rsidRDefault="00452FDA" w:rsidP="00452FDA"/>
    <w:p w:rsidR="00452FDA" w:rsidRDefault="00452FDA" w:rsidP="00452FDA"/>
    <w:p w:rsidR="00452FDA" w:rsidRDefault="00452FDA" w:rsidP="00452FDA"/>
    <w:p w:rsidR="00452FDA" w:rsidRDefault="00452FDA" w:rsidP="00452FDA"/>
    <w:p w:rsidR="00452FDA" w:rsidRDefault="00452FDA" w:rsidP="00452FDA"/>
    <w:p w:rsidR="00452FDA" w:rsidRDefault="00452FDA" w:rsidP="00452FDA"/>
    <w:p w:rsidR="00452FDA" w:rsidRDefault="00452FDA" w:rsidP="00452FDA"/>
    <w:p w:rsidR="00F545A5" w:rsidRPr="00D57DD9" w:rsidRDefault="00452FDA" w:rsidP="00452FDA">
      <w:pPr>
        <w:rPr>
          <w:rFonts w:ascii="Verdana" w:hAnsi="Verdana"/>
          <w:b/>
          <w:sz w:val="20"/>
          <w:szCs w:val="20"/>
        </w:rPr>
      </w:pPr>
      <w:r w:rsidRPr="00452FDA">
        <w:rPr>
          <w:rFonts w:ascii="Verdana" w:hAnsi="Verdana"/>
          <w:b/>
          <w:sz w:val="20"/>
          <w:szCs w:val="20"/>
        </w:rPr>
        <w:lastRenderedPageBreak/>
        <w:t>IT0015 – Additional Payments</w:t>
      </w:r>
      <w:r w:rsidR="006E65AC">
        <w:rPr>
          <w:rFonts w:ascii="Verdana" w:hAnsi="Verdana"/>
          <w:b/>
          <w:sz w:val="20"/>
          <w:szCs w:val="20"/>
        </w:rPr>
        <w:t>:</w:t>
      </w:r>
      <w:r w:rsidR="00D57DD9">
        <w:rPr>
          <w:rFonts w:ascii="Verdana" w:hAnsi="Verdana"/>
          <w:b/>
          <w:sz w:val="20"/>
          <w:szCs w:val="20"/>
        </w:rPr>
        <w:t xml:space="preserve"> </w:t>
      </w:r>
      <w:r w:rsidRPr="00D57DD9">
        <w:rPr>
          <w:rFonts w:ascii="Verdana" w:hAnsi="Verdana"/>
          <w:sz w:val="20"/>
          <w:szCs w:val="20"/>
        </w:rPr>
        <w:t xml:space="preserve"> If the employee is already enrolled in the special catch-up, a record for Wage Type /PCU – 457 unutilized </w:t>
      </w:r>
      <w:proofErr w:type="gramStart"/>
      <w:r w:rsidRPr="00D57DD9">
        <w:rPr>
          <w:rFonts w:ascii="Verdana" w:hAnsi="Verdana"/>
          <w:sz w:val="20"/>
          <w:szCs w:val="20"/>
        </w:rPr>
        <w:t>amount</w:t>
      </w:r>
      <w:proofErr w:type="gramEnd"/>
      <w:r w:rsidRPr="00D57DD9">
        <w:rPr>
          <w:rFonts w:ascii="Verdana" w:hAnsi="Verdana"/>
          <w:sz w:val="20"/>
          <w:szCs w:val="20"/>
        </w:rPr>
        <w:t xml:space="preserve"> will already </w:t>
      </w:r>
      <w:r w:rsidR="0054515A">
        <w:rPr>
          <w:rFonts w:ascii="Verdana" w:hAnsi="Verdana"/>
          <w:sz w:val="20"/>
          <w:szCs w:val="20"/>
        </w:rPr>
        <w:t>exist</w:t>
      </w:r>
      <w:r w:rsidR="00F545A5" w:rsidRPr="00D57DD9">
        <w:rPr>
          <w:rFonts w:ascii="Verdana" w:hAnsi="Verdana"/>
          <w:sz w:val="20"/>
          <w:szCs w:val="20"/>
        </w:rPr>
        <w:t xml:space="preserve">.  </w:t>
      </w:r>
      <w:r w:rsidR="00D57DD9">
        <w:rPr>
          <w:rFonts w:ascii="Verdana" w:hAnsi="Verdana"/>
          <w:b/>
          <w:sz w:val="20"/>
          <w:szCs w:val="20"/>
        </w:rPr>
        <w:t>DO NOT CHANGE THE EXISTING RECORD.</w:t>
      </w:r>
    </w:p>
    <w:p w:rsidR="00F545A5" w:rsidRDefault="00F545A5" w:rsidP="00452FDA">
      <w:pPr>
        <w:rPr>
          <w:rFonts w:ascii="Verdana" w:hAnsi="Verdana"/>
          <w:b/>
          <w:sz w:val="20"/>
          <w:szCs w:val="20"/>
        </w:rPr>
      </w:pPr>
    </w:p>
    <w:p w:rsidR="00F545A5" w:rsidRDefault="00F545A5" w:rsidP="00452FD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="00452FDA">
        <w:rPr>
          <w:rFonts w:ascii="Verdana" w:hAnsi="Verdana"/>
          <w:b/>
          <w:sz w:val="20"/>
          <w:szCs w:val="20"/>
        </w:rPr>
        <w:t>f there is not a record for Wage Type /PCU – 457 unutil</w:t>
      </w:r>
      <w:r>
        <w:rPr>
          <w:rFonts w:ascii="Verdana" w:hAnsi="Verdana"/>
          <w:b/>
          <w:sz w:val="20"/>
          <w:szCs w:val="20"/>
        </w:rPr>
        <w:t xml:space="preserve">ized </w:t>
      </w:r>
      <w:proofErr w:type="gramStart"/>
      <w:r>
        <w:rPr>
          <w:rFonts w:ascii="Verdana" w:hAnsi="Verdana"/>
          <w:b/>
          <w:sz w:val="20"/>
          <w:szCs w:val="20"/>
        </w:rPr>
        <w:t>amount</w:t>
      </w:r>
      <w:proofErr w:type="gramEnd"/>
      <w:r>
        <w:rPr>
          <w:rFonts w:ascii="Verdana" w:hAnsi="Verdana"/>
          <w:b/>
          <w:sz w:val="20"/>
          <w:szCs w:val="20"/>
        </w:rPr>
        <w:t>, it must be created following the below steps:</w:t>
      </w:r>
    </w:p>
    <w:p w:rsidR="00F545A5" w:rsidRDefault="00F545A5" w:rsidP="00452FDA">
      <w:pPr>
        <w:rPr>
          <w:rFonts w:ascii="Verdana" w:hAnsi="Verdana"/>
          <w:b/>
          <w:sz w:val="20"/>
          <w:szCs w:val="20"/>
        </w:rPr>
      </w:pPr>
    </w:p>
    <w:p w:rsidR="00F545A5" w:rsidRPr="00D57DD9" w:rsidRDefault="00F545A5" w:rsidP="00F545A5">
      <w:pPr>
        <w:pStyle w:val="ListParagraph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D57DD9">
        <w:rPr>
          <w:rFonts w:ascii="Verdana" w:hAnsi="Verdana"/>
          <w:sz w:val="20"/>
          <w:szCs w:val="20"/>
        </w:rPr>
        <w:t>PA30, IT0015, Sty /PCU</w:t>
      </w:r>
      <w:r w:rsidR="00D57DD9">
        <w:rPr>
          <w:rFonts w:ascii="Verdana" w:hAnsi="Verdana"/>
          <w:sz w:val="20"/>
          <w:szCs w:val="20"/>
        </w:rPr>
        <w:t>, CREATE</w:t>
      </w:r>
    </w:p>
    <w:p w:rsidR="00F545A5" w:rsidRPr="00D57DD9" w:rsidRDefault="00F545A5" w:rsidP="00F545A5">
      <w:pPr>
        <w:pStyle w:val="ListParagraph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D57DD9">
        <w:rPr>
          <w:rFonts w:ascii="Verdana" w:hAnsi="Verdana"/>
          <w:sz w:val="20"/>
          <w:szCs w:val="20"/>
        </w:rPr>
        <w:t>I</w:t>
      </w:r>
      <w:r w:rsidR="00D57DD9">
        <w:rPr>
          <w:rFonts w:ascii="Verdana" w:hAnsi="Verdana"/>
          <w:sz w:val="20"/>
          <w:szCs w:val="20"/>
        </w:rPr>
        <w:t xml:space="preserve">n the period section </w:t>
      </w:r>
      <w:r w:rsidR="0054515A">
        <w:rPr>
          <w:rFonts w:ascii="Verdana" w:hAnsi="Verdana"/>
          <w:sz w:val="20"/>
          <w:szCs w:val="20"/>
        </w:rPr>
        <w:t xml:space="preserve">on the Maintain HR Master Data screen, </w:t>
      </w:r>
      <w:r w:rsidR="00D57DD9">
        <w:rPr>
          <w:rFonts w:ascii="Verdana" w:hAnsi="Verdana"/>
          <w:sz w:val="20"/>
          <w:szCs w:val="20"/>
        </w:rPr>
        <w:t xml:space="preserve">enter the effective date which will always </w:t>
      </w:r>
      <w:r w:rsidR="00D57DD9" w:rsidRPr="003F0929">
        <w:rPr>
          <w:rFonts w:ascii="Verdana" w:hAnsi="Verdana"/>
          <w:sz w:val="20"/>
          <w:szCs w:val="20"/>
        </w:rPr>
        <w:t xml:space="preserve">be the period begin date of the pay period prior to the effective date of your catch-up election.  </w:t>
      </w:r>
      <w:r w:rsidRPr="00D57DD9">
        <w:rPr>
          <w:rFonts w:ascii="Verdana" w:hAnsi="Verdana"/>
          <w:sz w:val="20"/>
          <w:szCs w:val="20"/>
        </w:rPr>
        <w:t>In this example, the deferred comp</w:t>
      </w:r>
      <w:r w:rsidR="0054515A">
        <w:rPr>
          <w:rFonts w:ascii="Verdana" w:hAnsi="Verdana"/>
          <w:sz w:val="20"/>
          <w:szCs w:val="20"/>
        </w:rPr>
        <w:t>ensation</w:t>
      </w:r>
      <w:r w:rsidRPr="00D57DD9">
        <w:rPr>
          <w:rFonts w:ascii="Verdana" w:hAnsi="Verdana"/>
          <w:sz w:val="20"/>
          <w:szCs w:val="20"/>
        </w:rPr>
        <w:t xml:space="preserve"> rollover record </w:t>
      </w:r>
      <w:r w:rsidR="00D57DD9">
        <w:rPr>
          <w:rFonts w:ascii="Verdana" w:hAnsi="Verdana"/>
          <w:sz w:val="20"/>
          <w:szCs w:val="20"/>
        </w:rPr>
        <w:t xml:space="preserve">is effective </w:t>
      </w:r>
      <w:r w:rsidRPr="00D57DD9">
        <w:rPr>
          <w:rFonts w:ascii="Verdana" w:hAnsi="Verdana"/>
          <w:sz w:val="20"/>
          <w:szCs w:val="20"/>
        </w:rPr>
        <w:t>8/25/12</w:t>
      </w:r>
      <w:r w:rsidR="00D57DD9">
        <w:rPr>
          <w:rFonts w:ascii="Verdana" w:hAnsi="Verdana"/>
          <w:sz w:val="20"/>
          <w:szCs w:val="20"/>
        </w:rPr>
        <w:t xml:space="preserve"> and the effective date for the IT0015 record is 8/11/12.</w:t>
      </w:r>
    </w:p>
    <w:p w:rsidR="00452FDA" w:rsidRDefault="00D57DD9" w:rsidP="00F545A5">
      <w:pPr>
        <w:pStyle w:val="ListParagraph"/>
        <w:numPr>
          <w:ilvl w:val="0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the amount field enter $60</w:t>
      </w:r>
      <w:r w:rsidR="00A36BE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000 </w:t>
      </w:r>
      <w:r w:rsidR="0054515A">
        <w:rPr>
          <w:rFonts w:ascii="Verdana" w:hAnsi="Verdana"/>
          <w:sz w:val="20"/>
          <w:szCs w:val="20"/>
        </w:rPr>
        <w:t>as the</w:t>
      </w:r>
      <w:r>
        <w:rPr>
          <w:rFonts w:ascii="Verdana" w:hAnsi="Verdana"/>
          <w:sz w:val="20"/>
          <w:szCs w:val="20"/>
        </w:rPr>
        <w:t xml:space="preserve"> system default. </w:t>
      </w:r>
    </w:p>
    <w:p w:rsidR="00D57DD9" w:rsidRPr="00D57DD9" w:rsidRDefault="00D57DD9" w:rsidP="00F545A5">
      <w:pPr>
        <w:pStyle w:val="ListParagraph"/>
        <w:numPr>
          <w:ilvl w:val="0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Date of Origin will populate based on the date you entered on the Maintain HR Master Data screen.</w:t>
      </w:r>
    </w:p>
    <w:p w:rsidR="00452FDA" w:rsidRPr="00452FDA" w:rsidRDefault="00452FDA" w:rsidP="00452FDA">
      <w:pPr>
        <w:rPr>
          <w:rFonts w:ascii="Verdana" w:hAnsi="Verdana"/>
          <w:b/>
          <w:sz w:val="20"/>
          <w:szCs w:val="20"/>
        </w:rPr>
      </w:pPr>
    </w:p>
    <w:p w:rsidR="00DC7E37" w:rsidRDefault="001223FC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shape id="_x0000_s1186" type="#_x0000_t32" style="position:absolute;margin-left:3in;margin-top:128.6pt;width:53.25pt;height:22.9pt;flip:x;z-index:251812864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85" style="position:absolute;margin-left:269.25pt;margin-top:113.25pt;width:172.1pt;height:32.25pt;z-index:251811840" fillcolor="white [3212]" strokecolor="red">
            <v:textbox>
              <w:txbxContent>
                <w:p w:rsidR="00DC389B" w:rsidRPr="00F867AF" w:rsidRDefault="00DC389B" w:rsidP="00D17D6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Enter $60,000 as the system default</w:t>
                  </w:r>
                </w:p>
              </w:txbxContent>
            </v:textbox>
          </v:rect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shape id="_x0000_s1184" type="#_x0000_t32" style="position:absolute;margin-left:172.5pt;margin-top:187.5pt;width:96.75pt;height:42.75pt;flip:x y;z-index:251810816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83" style="position:absolute;margin-left:269.25pt;margin-top:169.5pt;width:168.75pt;height:81.75pt;z-index:251809792" strokecolor="red">
            <v:textbox>
              <w:txbxContent>
                <w:p w:rsidR="00DC389B" w:rsidRPr="00F9437C" w:rsidRDefault="00DC389B" w:rsidP="00D17D6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 xml:space="preserve">Employee elected special catch-up effective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8/25</w:t>
                  </w: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 xml:space="preserve">/12 and is in payroll area Z3.  The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period begin date </w:t>
                  </w: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 xml:space="preserve">of the pay period prior to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8/25</w:t>
                  </w: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 xml:space="preserve">/12 is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8/11</w:t>
                  </w: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>/12.</w:t>
                  </w:r>
                </w:p>
                <w:p w:rsidR="00DC389B" w:rsidRDefault="00DC389B"/>
              </w:txbxContent>
            </v:textbox>
          </v:rect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59" style="position:absolute;margin-left:5.25pt;margin-top:128.6pt;width:246pt;height:66.4pt;z-index:251784192" filled="f" strokecolor="red"/>
        </w:pict>
      </w:r>
      <w:r w:rsidR="00452FDA" w:rsidRPr="00452FDA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5600700" cy="324802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37" w:rsidRDefault="00DC7E37" w:rsidP="00E56507">
      <w:pPr>
        <w:rPr>
          <w:rFonts w:ascii="Verdana" w:hAnsi="Verdana" w:cs="Verdana"/>
          <w:b/>
          <w:sz w:val="20"/>
          <w:szCs w:val="20"/>
        </w:rPr>
      </w:pPr>
    </w:p>
    <w:p w:rsidR="00DC7E37" w:rsidRDefault="00DC7E37" w:rsidP="00E56507">
      <w:pPr>
        <w:rPr>
          <w:rFonts w:ascii="Verdana" w:hAnsi="Verdana" w:cs="Verdana"/>
          <w:b/>
          <w:sz w:val="20"/>
          <w:szCs w:val="20"/>
        </w:rPr>
      </w:pPr>
    </w:p>
    <w:p w:rsidR="00DC7E37" w:rsidRDefault="00DC7E37" w:rsidP="00E56507">
      <w:pPr>
        <w:rPr>
          <w:rFonts w:ascii="Verdana" w:hAnsi="Verdana" w:cs="Verdana"/>
          <w:b/>
          <w:sz w:val="20"/>
          <w:szCs w:val="20"/>
        </w:rPr>
      </w:pPr>
    </w:p>
    <w:p w:rsidR="00DC7E37" w:rsidRDefault="00DC7E37" w:rsidP="00E56507">
      <w:pPr>
        <w:rPr>
          <w:rFonts w:ascii="Verdana" w:hAnsi="Verdana" w:cs="Verdana"/>
          <w:b/>
          <w:sz w:val="20"/>
          <w:szCs w:val="20"/>
        </w:rPr>
      </w:pPr>
    </w:p>
    <w:p w:rsidR="00DC7E37" w:rsidRDefault="00DC7E37" w:rsidP="00E56507">
      <w:pPr>
        <w:rPr>
          <w:rFonts w:ascii="Verdana" w:hAnsi="Verdana" w:cs="Verdana"/>
          <w:b/>
          <w:sz w:val="20"/>
          <w:szCs w:val="20"/>
        </w:rPr>
      </w:pPr>
    </w:p>
    <w:p w:rsidR="00DC7E37" w:rsidRDefault="00DC7E37" w:rsidP="00E56507">
      <w:pPr>
        <w:rPr>
          <w:rFonts w:ascii="Verdana" w:hAnsi="Verdana" w:cs="Verdana"/>
          <w:b/>
          <w:sz w:val="20"/>
          <w:szCs w:val="20"/>
        </w:rPr>
      </w:pPr>
    </w:p>
    <w:p w:rsidR="00DC7E37" w:rsidRDefault="00DC7E37" w:rsidP="00E56507">
      <w:pPr>
        <w:rPr>
          <w:rFonts w:ascii="Verdana" w:hAnsi="Verdana" w:cs="Verdana"/>
          <w:b/>
          <w:sz w:val="20"/>
          <w:szCs w:val="20"/>
        </w:rPr>
      </w:pPr>
    </w:p>
    <w:p w:rsidR="00DC7E37" w:rsidRDefault="00DC7E37" w:rsidP="00E56507">
      <w:pPr>
        <w:rPr>
          <w:rFonts w:ascii="Verdana" w:hAnsi="Verdana" w:cs="Verdana"/>
          <w:b/>
          <w:sz w:val="20"/>
          <w:szCs w:val="20"/>
        </w:rPr>
      </w:pPr>
    </w:p>
    <w:p w:rsidR="00DC7E37" w:rsidRDefault="00DC7E37" w:rsidP="00E56507">
      <w:pPr>
        <w:rPr>
          <w:rFonts w:ascii="Verdana" w:hAnsi="Verdana" w:cs="Verdana"/>
          <w:b/>
          <w:sz w:val="20"/>
          <w:szCs w:val="20"/>
        </w:rPr>
      </w:pPr>
    </w:p>
    <w:p w:rsidR="00DC7E37" w:rsidRDefault="00DC7E37" w:rsidP="00E56507">
      <w:pPr>
        <w:rPr>
          <w:rFonts w:ascii="Verdana" w:hAnsi="Verdana" w:cs="Verdana"/>
          <w:b/>
          <w:sz w:val="20"/>
          <w:szCs w:val="20"/>
        </w:rPr>
      </w:pPr>
    </w:p>
    <w:p w:rsidR="00DC7E37" w:rsidRDefault="00DC7E37" w:rsidP="00E56507">
      <w:pPr>
        <w:rPr>
          <w:rFonts w:ascii="Verdana" w:hAnsi="Verdana" w:cs="Verdana"/>
          <w:b/>
          <w:sz w:val="20"/>
          <w:szCs w:val="20"/>
        </w:rPr>
      </w:pPr>
    </w:p>
    <w:p w:rsidR="00D57DD9" w:rsidRDefault="00D57DD9" w:rsidP="00E56507">
      <w:pPr>
        <w:rPr>
          <w:rFonts w:ascii="Verdana" w:hAnsi="Verdana" w:cs="Verdana"/>
          <w:b/>
          <w:sz w:val="20"/>
          <w:szCs w:val="20"/>
        </w:rPr>
      </w:pPr>
    </w:p>
    <w:p w:rsidR="00D57DD9" w:rsidRDefault="00D57DD9" w:rsidP="00E56507">
      <w:pPr>
        <w:rPr>
          <w:rFonts w:ascii="Verdana" w:hAnsi="Verdana" w:cs="Verdana"/>
          <w:b/>
          <w:sz w:val="20"/>
          <w:szCs w:val="20"/>
        </w:rPr>
      </w:pPr>
    </w:p>
    <w:p w:rsidR="00D57DD9" w:rsidRPr="00D57DD9" w:rsidRDefault="00D57DD9" w:rsidP="00D57DD9">
      <w:pPr>
        <w:rPr>
          <w:rFonts w:ascii="Verdana" w:hAnsi="Verdana"/>
          <w:b/>
          <w:sz w:val="20"/>
          <w:szCs w:val="20"/>
        </w:rPr>
      </w:pPr>
      <w:r w:rsidRPr="00452FDA">
        <w:rPr>
          <w:rFonts w:ascii="Verdana" w:hAnsi="Verdana"/>
          <w:b/>
          <w:sz w:val="20"/>
          <w:szCs w:val="20"/>
        </w:rPr>
        <w:lastRenderedPageBreak/>
        <w:t>IT00</w:t>
      </w:r>
      <w:r>
        <w:rPr>
          <w:rFonts w:ascii="Verdana" w:hAnsi="Verdana"/>
          <w:b/>
          <w:sz w:val="20"/>
          <w:szCs w:val="20"/>
        </w:rPr>
        <w:t>41</w:t>
      </w:r>
      <w:r w:rsidRPr="00452FDA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Date Specifications</w:t>
      </w:r>
      <w:r w:rsidR="006E65AC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7DD9">
        <w:rPr>
          <w:rFonts w:ascii="Verdana" w:hAnsi="Verdana"/>
          <w:sz w:val="20"/>
          <w:szCs w:val="20"/>
        </w:rPr>
        <w:t xml:space="preserve">If the employee is already enrolled in the special catch-up, </w:t>
      </w:r>
      <w:proofErr w:type="gramStart"/>
      <w:r w:rsidRPr="00D57DD9"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IT0041 record with Date Type NR – Normal Retirement DT will already exist.</w:t>
      </w:r>
      <w:r w:rsidRPr="00D57D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DO NOT CHANGE THE EXISTING RECORD.</w:t>
      </w:r>
    </w:p>
    <w:p w:rsidR="00D57DD9" w:rsidRDefault="00D57DD9" w:rsidP="00D57DD9">
      <w:pPr>
        <w:rPr>
          <w:rFonts w:ascii="Verdana" w:hAnsi="Verdana"/>
          <w:b/>
          <w:sz w:val="20"/>
          <w:szCs w:val="20"/>
        </w:rPr>
      </w:pPr>
    </w:p>
    <w:p w:rsidR="00D57DD9" w:rsidRDefault="00D57DD9" w:rsidP="00D57DD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If there is not an existing record with an NR date</w:t>
      </w:r>
      <w:r w:rsidR="0054515A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it must be created following the below steps:</w:t>
      </w:r>
    </w:p>
    <w:p w:rsidR="00D57DD9" w:rsidRDefault="00D57DD9" w:rsidP="00D57DD9">
      <w:pPr>
        <w:rPr>
          <w:rFonts w:ascii="Verdana" w:hAnsi="Verdana"/>
          <w:b/>
          <w:sz w:val="20"/>
          <w:szCs w:val="20"/>
        </w:rPr>
      </w:pPr>
    </w:p>
    <w:p w:rsidR="00D57DD9" w:rsidRPr="00D57DD9" w:rsidRDefault="00D57DD9" w:rsidP="00D57DD9">
      <w:pPr>
        <w:pStyle w:val="ListParagraph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D57DD9">
        <w:rPr>
          <w:rFonts w:ascii="Verdana" w:hAnsi="Verdana"/>
          <w:sz w:val="20"/>
          <w:szCs w:val="20"/>
        </w:rPr>
        <w:t>PA30, IT00</w:t>
      </w:r>
      <w:r>
        <w:rPr>
          <w:rFonts w:ascii="Verdana" w:hAnsi="Verdana"/>
          <w:sz w:val="20"/>
          <w:szCs w:val="20"/>
        </w:rPr>
        <w:t>41</w:t>
      </w:r>
      <w:r w:rsidRPr="00D57DD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COPY</w:t>
      </w:r>
    </w:p>
    <w:p w:rsidR="00D57DD9" w:rsidRPr="00D57DD9" w:rsidRDefault="00D57DD9" w:rsidP="00D57DD9">
      <w:pPr>
        <w:pStyle w:val="ListParagraph"/>
        <w:numPr>
          <w:ilvl w:val="0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Change the start date of the record </w:t>
      </w:r>
      <w:r w:rsidR="00E62243">
        <w:rPr>
          <w:rFonts w:ascii="Verdana" w:hAnsi="Verdana"/>
          <w:sz w:val="20"/>
          <w:szCs w:val="20"/>
        </w:rPr>
        <w:t xml:space="preserve">to </w:t>
      </w:r>
      <w:r w:rsidRPr="003F0929">
        <w:rPr>
          <w:rFonts w:ascii="Verdana" w:hAnsi="Verdana"/>
          <w:sz w:val="20"/>
          <w:szCs w:val="20"/>
        </w:rPr>
        <w:t xml:space="preserve">the period begin date of the pay period prior to the effective date of your catch-up election.  </w:t>
      </w:r>
      <w:r w:rsidRPr="00D57DD9">
        <w:rPr>
          <w:rFonts w:ascii="Verdana" w:hAnsi="Verdana"/>
          <w:sz w:val="20"/>
          <w:szCs w:val="20"/>
        </w:rPr>
        <w:t>In this example, the deferred comp</w:t>
      </w:r>
      <w:r w:rsidR="0054515A">
        <w:rPr>
          <w:rFonts w:ascii="Verdana" w:hAnsi="Verdana"/>
          <w:sz w:val="20"/>
          <w:szCs w:val="20"/>
        </w:rPr>
        <w:t>ensation</w:t>
      </w:r>
      <w:r w:rsidRPr="00D57DD9">
        <w:rPr>
          <w:rFonts w:ascii="Verdana" w:hAnsi="Verdana"/>
          <w:sz w:val="20"/>
          <w:szCs w:val="20"/>
        </w:rPr>
        <w:t xml:space="preserve"> rollover record </w:t>
      </w:r>
      <w:r>
        <w:rPr>
          <w:rFonts w:ascii="Verdana" w:hAnsi="Verdana"/>
          <w:sz w:val="20"/>
          <w:szCs w:val="20"/>
        </w:rPr>
        <w:t xml:space="preserve">is effective </w:t>
      </w:r>
      <w:r w:rsidRPr="00D57DD9">
        <w:rPr>
          <w:rFonts w:ascii="Verdana" w:hAnsi="Verdana"/>
          <w:sz w:val="20"/>
          <w:szCs w:val="20"/>
        </w:rPr>
        <w:t>8/25/12</w:t>
      </w:r>
      <w:r>
        <w:rPr>
          <w:rFonts w:ascii="Verdana" w:hAnsi="Verdana"/>
          <w:sz w:val="20"/>
          <w:szCs w:val="20"/>
        </w:rPr>
        <w:t xml:space="preserve"> and the effective date for the IT00</w:t>
      </w:r>
      <w:r w:rsidR="00E62243">
        <w:rPr>
          <w:rFonts w:ascii="Verdana" w:hAnsi="Verdana"/>
          <w:sz w:val="20"/>
          <w:szCs w:val="20"/>
        </w:rPr>
        <w:t>41</w:t>
      </w:r>
      <w:r w:rsidR="005451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record is 8/11/12.</w:t>
      </w:r>
    </w:p>
    <w:p w:rsidR="00D57DD9" w:rsidRDefault="00E62243" w:rsidP="00D57DD9">
      <w:pPr>
        <w:pStyle w:val="ListParagraph"/>
        <w:numPr>
          <w:ilvl w:val="0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the Date Type field, select NR – Normal Retirement </w:t>
      </w:r>
      <w:proofErr w:type="spellStart"/>
      <w:r>
        <w:rPr>
          <w:rFonts w:ascii="Verdana" w:hAnsi="Verdana"/>
          <w:sz w:val="20"/>
          <w:szCs w:val="20"/>
        </w:rPr>
        <w:t>Dt</w:t>
      </w:r>
      <w:proofErr w:type="spellEnd"/>
      <w:r>
        <w:rPr>
          <w:rFonts w:ascii="Verdana" w:hAnsi="Verdana"/>
          <w:sz w:val="20"/>
          <w:szCs w:val="20"/>
        </w:rPr>
        <w:t xml:space="preserve"> from the drop down menu.  Enter the date of 1.1.xxxx.  The date is always January 1 of the year following the election of the special-catch</w:t>
      </w:r>
      <w:r w:rsidR="00E95B8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up for leave rollover purposes.  In this example, the leave rollover is elected in 2012 resulting in an NR date of 1/1/2013.</w:t>
      </w:r>
    </w:p>
    <w:p w:rsidR="00D57DD9" w:rsidRDefault="00D57DD9" w:rsidP="00E56507">
      <w:pPr>
        <w:rPr>
          <w:rFonts w:ascii="Verdana" w:hAnsi="Verdana" w:cs="Verdana"/>
          <w:b/>
          <w:sz w:val="20"/>
          <w:szCs w:val="20"/>
        </w:rPr>
      </w:pPr>
    </w:p>
    <w:p w:rsidR="00D57DD9" w:rsidRDefault="001223FC" w:rsidP="00E5650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shape id="_x0000_s1190" type="#_x0000_t32" style="position:absolute;margin-left:185.25pt;margin-top:168.6pt;width:45.75pt;height:2.25pt;flip:x;z-index:251816960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89" style="position:absolute;margin-left:231pt;margin-top:145.35pt;width:204.75pt;height:44.25pt;z-index:251815936" strokecolor="red">
            <v:textbox>
              <w:txbxContent>
                <w:p w:rsidR="00DC389B" w:rsidRPr="00E95B86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95B86">
                    <w:rPr>
                      <w:rFonts w:ascii="Verdana" w:hAnsi="Verdana"/>
                      <w:sz w:val="20"/>
                      <w:szCs w:val="20"/>
                    </w:rPr>
                    <w:t xml:space="preserve">Date is always 1.1.XX of the year following the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election of the special catch-up.</w:t>
                  </w:r>
                </w:p>
              </w:txbxContent>
            </v:textbox>
          </v:rect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shape id="_x0000_s1188" type="#_x0000_t32" style="position:absolute;margin-left:128.25pt;margin-top:106.35pt;width:78.75pt;height:1.5pt;flip:x;z-index:251814912" o:connectortype="straight">
            <v:stroke endarrow="block"/>
          </v:shape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87" style="position:absolute;margin-left:207pt;margin-top:77.1pt;width:228.75pt;height:59.25pt;z-index:251813888" strokecolor="red">
            <v:textbox>
              <w:txbxContent>
                <w:p w:rsidR="00DC389B" w:rsidRPr="00F9437C" w:rsidRDefault="00DC389B" w:rsidP="00D17D6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 xml:space="preserve">Employee elected special catch-up effective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8/25</w:t>
                  </w: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 xml:space="preserve">/12 and is in payroll area Z3.  The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period begin date </w:t>
                  </w: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 xml:space="preserve">of the pay period prior to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8/25</w:t>
                  </w: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 xml:space="preserve">/12 is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8/11</w:t>
                  </w:r>
                  <w:r w:rsidRPr="00F9437C">
                    <w:rPr>
                      <w:rFonts w:ascii="Verdana" w:hAnsi="Verdana"/>
                      <w:sz w:val="20"/>
                      <w:szCs w:val="20"/>
                    </w:rPr>
                    <w:t>/12.</w:t>
                  </w:r>
                </w:p>
                <w:p w:rsidR="00DC389B" w:rsidRDefault="00DC389B" w:rsidP="00D17D6A"/>
              </w:txbxContent>
            </v:textbox>
          </v:rect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66" style="position:absolute;margin-left:2.25pt;margin-top:153pt;width:204.75pt;height:30pt;z-index:251791360" filled="f" strokecolor="red"/>
        </w:pict>
      </w:r>
      <w:r>
        <w:rPr>
          <w:rFonts w:ascii="Verdana" w:hAnsi="Verdana" w:cs="Verdana"/>
          <w:b/>
          <w:noProof/>
          <w:sz w:val="20"/>
          <w:szCs w:val="20"/>
        </w:rPr>
        <w:pict>
          <v:rect id="_x0000_s1165" style="position:absolute;margin-left:2.25pt;margin-top:99pt;width:133.5pt;height:20.25pt;z-index:251790336" filled="f" strokecolor="red"/>
        </w:pict>
      </w:r>
      <w:r w:rsidR="00E62243" w:rsidRPr="00E62243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5591175" cy="2971800"/>
            <wp:effectExtent l="19050" t="0" r="9525" b="0"/>
            <wp:docPr id="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DD9" w:rsidRDefault="00D57DD9" w:rsidP="00E56507">
      <w:pPr>
        <w:rPr>
          <w:rFonts w:ascii="Verdana" w:hAnsi="Verdana" w:cs="Verdana"/>
          <w:b/>
          <w:sz w:val="20"/>
          <w:szCs w:val="20"/>
        </w:rPr>
      </w:pPr>
    </w:p>
    <w:p w:rsidR="00D57DD9" w:rsidRDefault="00D57DD9" w:rsidP="00E56507">
      <w:pPr>
        <w:rPr>
          <w:rFonts w:ascii="Verdana" w:hAnsi="Verdana" w:cs="Verdana"/>
          <w:b/>
          <w:sz w:val="20"/>
          <w:szCs w:val="20"/>
        </w:rPr>
      </w:pPr>
    </w:p>
    <w:p w:rsidR="00E62243" w:rsidRDefault="00E62243" w:rsidP="00E56507">
      <w:pPr>
        <w:rPr>
          <w:rFonts w:ascii="Verdana" w:hAnsi="Verdana" w:cs="Verdana"/>
          <w:b/>
          <w:sz w:val="20"/>
          <w:szCs w:val="20"/>
        </w:rPr>
      </w:pPr>
    </w:p>
    <w:p w:rsidR="00E62243" w:rsidRDefault="00E62243" w:rsidP="00E56507">
      <w:pPr>
        <w:rPr>
          <w:rFonts w:ascii="Verdana" w:hAnsi="Verdana" w:cs="Verdana"/>
          <w:b/>
          <w:sz w:val="20"/>
          <w:szCs w:val="20"/>
        </w:rPr>
      </w:pPr>
    </w:p>
    <w:p w:rsidR="00E62243" w:rsidRDefault="00E62243" w:rsidP="00E56507">
      <w:pPr>
        <w:rPr>
          <w:rFonts w:ascii="Verdana" w:hAnsi="Verdana" w:cs="Verdana"/>
          <w:b/>
          <w:sz w:val="20"/>
          <w:szCs w:val="20"/>
        </w:rPr>
      </w:pPr>
    </w:p>
    <w:p w:rsidR="00E62243" w:rsidRDefault="00E62243" w:rsidP="00E56507">
      <w:pPr>
        <w:rPr>
          <w:rFonts w:ascii="Verdana" w:hAnsi="Verdana" w:cs="Verdana"/>
          <w:b/>
          <w:sz w:val="20"/>
          <w:szCs w:val="20"/>
        </w:rPr>
      </w:pPr>
    </w:p>
    <w:p w:rsidR="00E62243" w:rsidRDefault="00E62243" w:rsidP="00E56507">
      <w:pPr>
        <w:rPr>
          <w:rFonts w:ascii="Verdana" w:hAnsi="Verdana" w:cs="Verdana"/>
          <w:b/>
          <w:sz w:val="20"/>
          <w:szCs w:val="20"/>
        </w:rPr>
      </w:pPr>
    </w:p>
    <w:p w:rsidR="00E62243" w:rsidRDefault="00E62243" w:rsidP="00E56507">
      <w:pPr>
        <w:rPr>
          <w:rFonts w:ascii="Verdana" w:hAnsi="Verdana" w:cs="Verdana"/>
          <w:b/>
          <w:sz w:val="20"/>
          <w:szCs w:val="20"/>
        </w:rPr>
      </w:pPr>
    </w:p>
    <w:p w:rsidR="00E62243" w:rsidRDefault="00E62243" w:rsidP="00E56507">
      <w:pPr>
        <w:rPr>
          <w:rFonts w:ascii="Verdana" w:hAnsi="Verdana" w:cs="Verdana"/>
          <w:b/>
          <w:sz w:val="20"/>
          <w:szCs w:val="20"/>
        </w:rPr>
      </w:pPr>
    </w:p>
    <w:p w:rsidR="00E62243" w:rsidRDefault="00E62243" w:rsidP="00E56507">
      <w:pPr>
        <w:rPr>
          <w:rFonts w:ascii="Verdana" w:hAnsi="Verdana" w:cs="Verdana"/>
          <w:b/>
          <w:sz w:val="20"/>
          <w:szCs w:val="20"/>
        </w:rPr>
      </w:pPr>
    </w:p>
    <w:p w:rsidR="00E62243" w:rsidRDefault="00E62243" w:rsidP="00E56507">
      <w:pPr>
        <w:rPr>
          <w:rFonts w:ascii="Verdana" w:hAnsi="Verdana" w:cs="Verdana"/>
          <w:b/>
          <w:sz w:val="20"/>
          <w:szCs w:val="20"/>
        </w:rPr>
      </w:pPr>
    </w:p>
    <w:p w:rsidR="00E62243" w:rsidRDefault="00E62243" w:rsidP="00E56507">
      <w:pPr>
        <w:rPr>
          <w:rFonts w:ascii="Verdana" w:hAnsi="Verdana" w:cs="Verdana"/>
          <w:b/>
          <w:sz w:val="20"/>
          <w:szCs w:val="20"/>
        </w:rPr>
      </w:pPr>
    </w:p>
    <w:p w:rsidR="00E62243" w:rsidRDefault="00E62243" w:rsidP="00E56507">
      <w:pPr>
        <w:rPr>
          <w:rFonts w:ascii="Verdana" w:hAnsi="Verdana" w:cs="Verdana"/>
          <w:b/>
          <w:sz w:val="20"/>
          <w:szCs w:val="20"/>
        </w:rPr>
      </w:pPr>
    </w:p>
    <w:p w:rsidR="00E62243" w:rsidRDefault="00E62243" w:rsidP="00E56507">
      <w:pPr>
        <w:rPr>
          <w:rFonts w:ascii="Verdana" w:hAnsi="Verdana" w:cs="Verdana"/>
          <w:b/>
          <w:sz w:val="20"/>
          <w:szCs w:val="20"/>
        </w:rPr>
      </w:pPr>
    </w:p>
    <w:p w:rsidR="00E62243" w:rsidRDefault="00E62243" w:rsidP="00E62243">
      <w:pPr>
        <w:rPr>
          <w:rFonts w:ascii="Verdana" w:hAnsi="Verdana"/>
          <w:sz w:val="20"/>
          <w:szCs w:val="20"/>
        </w:rPr>
      </w:pPr>
      <w:r w:rsidRPr="00E62243">
        <w:rPr>
          <w:rFonts w:ascii="Verdana" w:hAnsi="Verdana"/>
          <w:b/>
          <w:sz w:val="20"/>
          <w:szCs w:val="20"/>
        </w:rPr>
        <w:lastRenderedPageBreak/>
        <w:t>Period 19</w:t>
      </w:r>
      <w:r w:rsidR="006E65AC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54515A">
        <w:rPr>
          <w:rFonts w:ascii="Verdana" w:hAnsi="Verdana"/>
          <w:sz w:val="20"/>
          <w:szCs w:val="20"/>
        </w:rPr>
        <w:t>I</w:t>
      </w:r>
      <w:r w:rsidRPr="00E62243">
        <w:rPr>
          <w:rFonts w:ascii="Verdana" w:hAnsi="Verdana"/>
          <w:sz w:val="20"/>
          <w:szCs w:val="20"/>
        </w:rPr>
        <w:t xml:space="preserve">ncludes accrued leave being </w:t>
      </w:r>
      <w:proofErr w:type="gramStart"/>
      <w:r w:rsidRPr="00E62243">
        <w:rPr>
          <w:rFonts w:ascii="Verdana" w:hAnsi="Verdana"/>
          <w:sz w:val="20"/>
          <w:szCs w:val="20"/>
        </w:rPr>
        <w:t>paid</w:t>
      </w:r>
      <w:r w:rsidR="006E65AC">
        <w:rPr>
          <w:rFonts w:ascii="Verdana" w:hAnsi="Verdana"/>
          <w:sz w:val="20"/>
          <w:szCs w:val="20"/>
        </w:rPr>
        <w:t>,</w:t>
      </w:r>
      <w:proofErr w:type="gramEnd"/>
      <w:r w:rsidRPr="00E62243">
        <w:rPr>
          <w:rFonts w:ascii="Verdana" w:hAnsi="Verdana"/>
          <w:sz w:val="20"/>
          <w:szCs w:val="20"/>
        </w:rPr>
        <w:t xml:space="preserve"> and the deferred comp</w:t>
      </w:r>
      <w:r>
        <w:rPr>
          <w:rFonts w:ascii="Verdana" w:hAnsi="Verdana"/>
          <w:sz w:val="20"/>
          <w:szCs w:val="20"/>
        </w:rPr>
        <w:t>ensation</w:t>
      </w:r>
      <w:r w:rsidRPr="00E62243">
        <w:rPr>
          <w:rFonts w:ascii="Verdana" w:hAnsi="Verdana"/>
          <w:sz w:val="20"/>
          <w:szCs w:val="20"/>
        </w:rPr>
        <w:t xml:space="preserve"> deduction </w:t>
      </w:r>
      <w:r>
        <w:rPr>
          <w:rFonts w:ascii="Verdana" w:hAnsi="Verdana"/>
          <w:sz w:val="20"/>
          <w:szCs w:val="20"/>
        </w:rPr>
        <w:t>of $32</w:t>
      </w:r>
      <w:r w:rsidR="00A36BE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>200 is taken resulting in the employee contributing the maximum of $</w:t>
      </w:r>
      <w:r w:rsidRPr="00E62243">
        <w:rPr>
          <w:rFonts w:ascii="Verdana" w:hAnsi="Verdana"/>
          <w:sz w:val="20"/>
          <w:szCs w:val="20"/>
        </w:rPr>
        <w:t>34,000</w:t>
      </w:r>
      <w:r>
        <w:rPr>
          <w:rFonts w:ascii="Verdana" w:hAnsi="Verdana"/>
          <w:sz w:val="20"/>
          <w:szCs w:val="20"/>
        </w:rPr>
        <w:t>.</w:t>
      </w:r>
    </w:p>
    <w:p w:rsidR="00E62243" w:rsidRDefault="00E62243" w:rsidP="00E62243">
      <w:pPr>
        <w:rPr>
          <w:rFonts w:ascii="Verdana" w:hAnsi="Verdana"/>
          <w:sz w:val="20"/>
          <w:szCs w:val="20"/>
        </w:rPr>
      </w:pPr>
    </w:p>
    <w:p w:rsidR="00E62243" w:rsidRPr="00E62243" w:rsidRDefault="001223FC" w:rsidP="00E622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173" type="#_x0000_t32" style="position:absolute;margin-left:319.5pt;margin-top:551.75pt;width:55.5pt;height:12.75pt;flip:y;z-index:251798528" o:connectortype="straight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72" type="#_x0000_t32" style="position:absolute;margin-left:257.25pt;margin-top:551.75pt;width:62.25pt;height:12.75pt;flip:x y;z-index:251797504" o:connectortype="straight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rect id="_x0000_s1171" style="position:absolute;margin-left:234.75pt;margin-top:564.5pt;width:184.5pt;height:42.75pt;z-index:251796480" fillcolor="white [3212]" strokecolor="red">
            <v:textbox>
              <w:txbxContent>
                <w:p w:rsidR="00DC389B" w:rsidRPr="00E62243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62243">
                    <w:rPr>
                      <w:rFonts w:ascii="Verdana" w:hAnsi="Verdana"/>
                      <w:sz w:val="20"/>
                      <w:szCs w:val="20"/>
                    </w:rPr>
                    <w:t>Special catch-up amount of $32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Pr="00E62243">
                    <w:rPr>
                      <w:rFonts w:ascii="Verdana" w:hAnsi="Verdana"/>
                      <w:sz w:val="20"/>
                      <w:szCs w:val="20"/>
                    </w:rPr>
                    <w:t>200 resulting in maximum YTD of $34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Pr="00E62243">
                    <w:rPr>
                      <w:rFonts w:ascii="Verdana" w:hAnsi="Verdana"/>
                      <w:sz w:val="20"/>
                      <w:szCs w:val="20"/>
                    </w:rPr>
                    <w:t>000</w:t>
                  </w:r>
                </w:p>
              </w:txbxContent>
            </v:textbox>
          </v:rect>
        </w:pict>
      </w:r>
      <w:r>
        <w:rPr>
          <w:rFonts w:ascii="Verdana" w:hAnsi="Verdana"/>
          <w:noProof/>
          <w:sz w:val="20"/>
          <w:szCs w:val="20"/>
        </w:rPr>
        <w:pict>
          <v:rect id="_x0000_s1170" style="position:absolute;margin-left:5.25pt;margin-top:539.75pt;width:462.75pt;height:16.5pt;z-index:251795456" filled="f" strokecolor="red"/>
        </w:pict>
      </w:r>
      <w:r>
        <w:rPr>
          <w:rFonts w:ascii="Verdana" w:hAnsi="Verdana"/>
          <w:noProof/>
          <w:sz w:val="20"/>
          <w:szCs w:val="20"/>
        </w:rPr>
        <w:pict>
          <v:shape id="_x0000_s1169" type="#_x0000_t32" style="position:absolute;margin-left:264.75pt;margin-top:177.5pt;width:35.25pt;height:1.5pt;flip:x y;z-index:251794432" o:connectortype="straight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rect id="_x0000_s1168" style="position:absolute;margin-left:300pt;margin-top:166.25pt;width:162.75pt;height:24.75pt;z-index:251793408" fillcolor="white [3212]" strokecolor="red">
            <v:textbox>
              <w:txbxContent>
                <w:p w:rsidR="00DC389B" w:rsidRPr="00E62243" w:rsidRDefault="00DC38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62243">
                    <w:rPr>
                      <w:rFonts w:ascii="Verdana" w:hAnsi="Verdana"/>
                      <w:sz w:val="20"/>
                      <w:szCs w:val="20"/>
                    </w:rPr>
                    <w:t xml:space="preserve">Accumulated leave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payout</w:t>
                  </w:r>
                </w:p>
              </w:txbxContent>
            </v:textbox>
          </v:rect>
        </w:pict>
      </w:r>
      <w:r>
        <w:rPr>
          <w:rFonts w:ascii="Verdana" w:hAnsi="Verdana"/>
          <w:noProof/>
          <w:sz w:val="20"/>
          <w:szCs w:val="20"/>
        </w:rPr>
        <w:pict>
          <v:rect id="_x0000_s1167" style="position:absolute;margin-left:5.25pt;margin-top:158pt;width:259.5pt;height:37.5pt;z-index:251792384" filled="f" strokecolor="red"/>
        </w:pict>
      </w:r>
      <w:r w:rsidR="00E62243" w:rsidRPr="00E62243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943600" cy="7241525"/>
            <wp:effectExtent l="19050" t="0" r="0" b="0"/>
            <wp:docPr id="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0E" w:rsidRPr="009C1B31" w:rsidRDefault="00377242" w:rsidP="00E56507">
      <w:pPr>
        <w:rPr>
          <w:rFonts w:ascii="Verdana" w:hAnsi="Verdana" w:cs="Verdana"/>
          <w:sz w:val="20"/>
          <w:szCs w:val="20"/>
        </w:rPr>
      </w:pPr>
      <w:proofErr w:type="gramStart"/>
      <w:r w:rsidRPr="00262C4D">
        <w:rPr>
          <w:rFonts w:ascii="Verdana" w:hAnsi="Verdana" w:cs="Verdana"/>
          <w:b/>
          <w:sz w:val="20"/>
          <w:szCs w:val="20"/>
        </w:rPr>
        <w:lastRenderedPageBreak/>
        <w:t>Questions?</w:t>
      </w:r>
      <w:proofErr w:type="gramEnd"/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r w:rsidR="006E65AC">
        <w:rPr>
          <w:rFonts w:ascii="Verdana" w:hAnsi="Verdana" w:cs="Verdana"/>
          <w:sz w:val="20"/>
          <w:szCs w:val="20"/>
        </w:rPr>
        <w:t>this alert</w:t>
      </w:r>
      <w:r w:rsidR="00685856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34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B85010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 xml:space="preserve">Division at 877.242.6007. </w:t>
      </w:r>
    </w:p>
    <w:sectPr w:rsidR="00472D0E" w:rsidRPr="009C1B31" w:rsidSect="0037724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9B" w:rsidRDefault="00DC389B">
      <w:r>
        <w:separator/>
      </w:r>
    </w:p>
  </w:endnote>
  <w:endnote w:type="continuationSeparator" w:id="0">
    <w:p w:rsidR="00DC389B" w:rsidRDefault="00DC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9B" w:rsidRDefault="00DC38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389B" w:rsidRDefault="00DC38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9B" w:rsidRPr="009C1B31" w:rsidRDefault="00DC389B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AE0B94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DC389B" w:rsidRDefault="00DC389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9B" w:rsidRDefault="00DC38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9B" w:rsidRDefault="00DC389B">
      <w:r>
        <w:separator/>
      </w:r>
    </w:p>
  </w:footnote>
  <w:footnote w:type="continuationSeparator" w:id="0">
    <w:p w:rsidR="00DC389B" w:rsidRDefault="00DC3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9B" w:rsidRDefault="00DC38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9B" w:rsidRDefault="00DC389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DC389B" w:rsidRPr="00870071" w:rsidRDefault="00DC389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BB7C09DFAAD04B2C9272946EE2FD5436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Pr="00870071">
      <w:rPr>
        <w:rFonts w:ascii="Verdana" w:hAnsi="Verdana" w:cs="Arial"/>
        <w:b/>
        <w:bCs/>
        <w:sz w:val="28"/>
        <w:szCs w:val="28"/>
      </w:rPr>
      <w:tab/>
    </w:r>
    <w:r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94BE293E29714443B3C08BFCD68306C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Pr="00870071">
          <w:rPr>
            <w:rFonts w:ascii="Verdana" w:hAnsi="Verdana" w:cs="Arial"/>
            <w:b/>
            <w:bCs/>
            <w:sz w:val="28"/>
            <w:szCs w:val="28"/>
          </w:rPr>
          <w:t>201</w:t>
        </w:r>
        <w:r>
          <w:rPr>
            <w:rFonts w:ascii="Verdana" w:hAnsi="Verdana" w:cs="Arial"/>
            <w:b/>
            <w:bCs/>
            <w:sz w:val="28"/>
            <w:szCs w:val="28"/>
          </w:rPr>
          <w:t>2</w:t>
        </w:r>
        <w:r w:rsidRPr="00870071">
          <w:rPr>
            <w:rFonts w:ascii="Verdana" w:hAnsi="Verdana" w:cs="Arial"/>
            <w:b/>
            <w:bCs/>
            <w:sz w:val="28"/>
            <w:szCs w:val="28"/>
          </w:rPr>
          <w:t>-</w:t>
        </w:r>
        <w:r>
          <w:rPr>
            <w:rFonts w:ascii="Verdana" w:hAnsi="Verdana" w:cs="Arial"/>
            <w:b/>
            <w:bCs/>
            <w:sz w:val="28"/>
            <w:szCs w:val="28"/>
          </w:rPr>
          <w:t>04</w:t>
        </w:r>
      </w:sdtContent>
    </w:sdt>
  </w:p>
  <w:p w:rsidR="00DC389B" w:rsidRDefault="00DC389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>
      <w:rPr>
        <w:rFonts w:ascii="Verdana" w:hAnsi="Verdana" w:cs="Arial"/>
        <w:sz w:val="20"/>
        <w:szCs w:val="20"/>
      </w:rPr>
      <w:t>07.18.2012</w:t>
    </w:r>
  </w:p>
  <w:p w:rsidR="00DC389B" w:rsidRPr="00552089" w:rsidRDefault="00DC389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DC389B" w:rsidRPr="00552089" w:rsidRDefault="00DC389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9B" w:rsidRDefault="00DC3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68843CA"/>
    <w:multiLevelType w:val="hybridMultilevel"/>
    <w:tmpl w:val="A64A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1D6909F5"/>
    <w:multiLevelType w:val="hybridMultilevel"/>
    <w:tmpl w:val="5D40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23907279"/>
    <w:multiLevelType w:val="hybridMultilevel"/>
    <w:tmpl w:val="D2C8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577624E8"/>
    <w:multiLevelType w:val="hybridMultilevel"/>
    <w:tmpl w:val="2C0A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618E610B"/>
    <w:multiLevelType w:val="hybridMultilevel"/>
    <w:tmpl w:val="B4BE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0697A"/>
    <w:multiLevelType w:val="hybridMultilevel"/>
    <w:tmpl w:val="7894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53758"/>
    <w:multiLevelType w:val="hybridMultilevel"/>
    <w:tmpl w:val="DF74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4AA5BE4"/>
    <w:multiLevelType w:val="hybridMultilevel"/>
    <w:tmpl w:val="0002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BB34DED"/>
    <w:multiLevelType w:val="hybridMultilevel"/>
    <w:tmpl w:val="643E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519B7"/>
    <w:multiLevelType w:val="hybridMultilevel"/>
    <w:tmpl w:val="6712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31"/>
  </w:num>
  <w:num w:numId="5">
    <w:abstractNumId w:val="36"/>
  </w:num>
  <w:num w:numId="6">
    <w:abstractNumId w:val="29"/>
  </w:num>
  <w:num w:numId="7">
    <w:abstractNumId w:val="15"/>
  </w:num>
  <w:num w:numId="8">
    <w:abstractNumId w:val="35"/>
  </w:num>
  <w:num w:numId="9">
    <w:abstractNumId w:val="7"/>
  </w:num>
  <w:num w:numId="10">
    <w:abstractNumId w:val="23"/>
  </w:num>
  <w:num w:numId="11">
    <w:abstractNumId w:val="14"/>
  </w:num>
  <w:num w:numId="12">
    <w:abstractNumId w:val="3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6"/>
  </w:num>
  <w:num w:numId="19">
    <w:abstractNumId w:val="40"/>
  </w:num>
  <w:num w:numId="20">
    <w:abstractNumId w:val="1"/>
  </w:num>
  <w:num w:numId="21">
    <w:abstractNumId w:val="5"/>
  </w:num>
  <w:num w:numId="22">
    <w:abstractNumId w:val="21"/>
  </w:num>
  <w:num w:numId="23">
    <w:abstractNumId w:val="27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8"/>
  </w:num>
  <w:num w:numId="27">
    <w:abstractNumId w:val="18"/>
  </w:num>
  <w:num w:numId="28">
    <w:abstractNumId w:val="11"/>
  </w:num>
  <w:num w:numId="29">
    <w:abstractNumId w:val="20"/>
  </w:num>
  <w:num w:numId="30">
    <w:abstractNumId w:val="25"/>
  </w:num>
  <w:num w:numId="31">
    <w:abstractNumId w:val="37"/>
  </w:num>
  <w:num w:numId="32">
    <w:abstractNumId w:val="6"/>
  </w:num>
  <w:num w:numId="33">
    <w:abstractNumId w:val="19"/>
  </w:num>
  <w:num w:numId="34">
    <w:abstractNumId w:val="17"/>
  </w:num>
  <w:num w:numId="35">
    <w:abstractNumId w:val="32"/>
  </w:num>
  <w:num w:numId="36">
    <w:abstractNumId w:val="12"/>
  </w:num>
  <w:num w:numId="37">
    <w:abstractNumId w:val="34"/>
  </w:num>
  <w:num w:numId="38">
    <w:abstractNumId w:val="38"/>
  </w:num>
  <w:num w:numId="39">
    <w:abstractNumId w:val="30"/>
  </w:num>
  <w:num w:numId="40">
    <w:abstractNumId w:val="33"/>
  </w:num>
  <w:num w:numId="41">
    <w:abstractNumId w:val="42"/>
  </w:num>
  <w:num w:numId="42">
    <w:abstractNumId w:val="4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63A2"/>
    <w:rsid w:val="00007B1B"/>
    <w:rsid w:val="00010771"/>
    <w:rsid w:val="000128F7"/>
    <w:rsid w:val="00015F8F"/>
    <w:rsid w:val="00023CA1"/>
    <w:rsid w:val="00041A44"/>
    <w:rsid w:val="000677CE"/>
    <w:rsid w:val="000973C3"/>
    <w:rsid w:val="000A0B0D"/>
    <w:rsid w:val="000A2E25"/>
    <w:rsid w:val="000A4573"/>
    <w:rsid w:val="000B675C"/>
    <w:rsid w:val="000C2DBA"/>
    <w:rsid w:val="000C588C"/>
    <w:rsid w:val="000C605B"/>
    <w:rsid w:val="000D0F95"/>
    <w:rsid w:val="000D1051"/>
    <w:rsid w:val="000D1069"/>
    <w:rsid w:val="000D2B4D"/>
    <w:rsid w:val="000D78CE"/>
    <w:rsid w:val="000E4D76"/>
    <w:rsid w:val="000E559E"/>
    <w:rsid w:val="00106466"/>
    <w:rsid w:val="001076FB"/>
    <w:rsid w:val="0011336B"/>
    <w:rsid w:val="00121B0B"/>
    <w:rsid w:val="001223FC"/>
    <w:rsid w:val="00123562"/>
    <w:rsid w:val="00131730"/>
    <w:rsid w:val="0013364A"/>
    <w:rsid w:val="00135131"/>
    <w:rsid w:val="00142029"/>
    <w:rsid w:val="0014246C"/>
    <w:rsid w:val="00163F86"/>
    <w:rsid w:val="00175BF9"/>
    <w:rsid w:val="00183489"/>
    <w:rsid w:val="00194B6C"/>
    <w:rsid w:val="00196173"/>
    <w:rsid w:val="001B31BE"/>
    <w:rsid w:val="001B3B1F"/>
    <w:rsid w:val="001D27AD"/>
    <w:rsid w:val="001D3001"/>
    <w:rsid w:val="001D59CB"/>
    <w:rsid w:val="001E5838"/>
    <w:rsid w:val="001F3743"/>
    <w:rsid w:val="00204AB0"/>
    <w:rsid w:val="002376EB"/>
    <w:rsid w:val="00254EAB"/>
    <w:rsid w:val="00261AF4"/>
    <w:rsid w:val="00262C4D"/>
    <w:rsid w:val="0026477D"/>
    <w:rsid w:val="00273B57"/>
    <w:rsid w:val="00275C24"/>
    <w:rsid w:val="0029178D"/>
    <w:rsid w:val="00296667"/>
    <w:rsid w:val="0029768F"/>
    <w:rsid w:val="002A29AE"/>
    <w:rsid w:val="002D05F5"/>
    <w:rsid w:val="002D5FEF"/>
    <w:rsid w:val="002D680F"/>
    <w:rsid w:val="002E2EC1"/>
    <w:rsid w:val="002E7326"/>
    <w:rsid w:val="002E7E5C"/>
    <w:rsid w:val="002F0C17"/>
    <w:rsid w:val="002F3667"/>
    <w:rsid w:val="002F6C05"/>
    <w:rsid w:val="00303D42"/>
    <w:rsid w:val="00303DED"/>
    <w:rsid w:val="003045E9"/>
    <w:rsid w:val="00307692"/>
    <w:rsid w:val="00320821"/>
    <w:rsid w:val="00352038"/>
    <w:rsid w:val="00356BEB"/>
    <w:rsid w:val="00363E80"/>
    <w:rsid w:val="00366454"/>
    <w:rsid w:val="00377242"/>
    <w:rsid w:val="0038736E"/>
    <w:rsid w:val="00387972"/>
    <w:rsid w:val="003911C3"/>
    <w:rsid w:val="003A4800"/>
    <w:rsid w:val="003D3C16"/>
    <w:rsid w:val="003F0929"/>
    <w:rsid w:val="003F1703"/>
    <w:rsid w:val="003F28EF"/>
    <w:rsid w:val="003F3644"/>
    <w:rsid w:val="003F45B6"/>
    <w:rsid w:val="00405CB0"/>
    <w:rsid w:val="00406094"/>
    <w:rsid w:val="00412D1B"/>
    <w:rsid w:val="004231E8"/>
    <w:rsid w:val="00431056"/>
    <w:rsid w:val="00431645"/>
    <w:rsid w:val="004463A2"/>
    <w:rsid w:val="00452FDA"/>
    <w:rsid w:val="00472D0E"/>
    <w:rsid w:val="00473681"/>
    <w:rsid w:val="00481A6E"/>
    <w:rsid w:val="004821A6"/>
    <w:rsid w:val="0048680C"/>
    <w:rsid w:val="00497733"/>
    <w:rsid w:val="004A037D"/>
    <w:rsid w:val="004A22B8"/>
    <w:rsid w:val="004B0360"/>
    <w:rsid w:val="004B3980"/>
    <w:rsid w:val="004D2081"/>
    <w:rsid w:val="004E1A78"/>
    <w:rsid w:val="00517E5B"/>
    <w:rsid w:val="005207A3"/>
    <w:rsid w:val="00525B66"/>
    <w:rsid w:val="00526EB1"/>
    <w:rsid w:val="00531D0D"/>
    <w:rsid w:val="005420FE"/>
    <w:rsid w:val="005444D6"/>
    <w:rsid w:val="0054515A"/>
    <w:rsid w:val="00552089"/>
    <w:rsid w:val="00557B92"/>
    <w:rsid w:val="00561F4C"/>
    <w:rsid w:val="00567A7D"/>
    <w:rsid w:val="00575F1A"/>
    <w:rsid w:val="00581953"/>
    <w:rsid w:val="005B3451"/>
    <w:rsid w:val="005B4074"/>
    <w:rsid w:val="005C0E77"/>
    <w:rsid w:val="005C14A0"/>
    <w:rsid w:val="005D1AF0"/>
    <w:rsid w:val="005D45D6"/>
    <w:rsid w:val="005E5A3F"/>
    <w:rsid w:val="005F5C01"/>
    <w:rsid w:val="005F5D48"/>
    <w:rsid w:val="005F6C66"/>
    <w:rsid w:val="00602857"/>
    <w:rsid w:val="00602CA4"/>
    <w:rsid w:val="00611055"/>
    <w:rsid w:val="0061211C"/>
    <w:rsid w:val="00615751"/>
    <w:rsid w:val="006268A7"/>
    <w:rsid w:val="0063058E"/>
    <w:rsid w:val="0063484A"/>
    <w:rsid w:val="00644305"/>
    <w:rsid w:val="00644E08"/>
    <w:rsid w:val="00651BBB"/>
    <w:rsid w:val="00655AA4"/>
    <w:rsid w:val="0065634D"/>
    <w:rsid w:val="0067247D"/>
    <w:rsid w:val="0067261E"/>
    <w:rsid w:val="00673338"/>
    <w:rsid w:val="00675176"/>
    <w:rsid w:val="006801EB"/>
    <w:rsid w:val="00685856"/>
    <w:rsid w:val="00692502"/>
    <w:rsid w:val="006A226E"/>
    <w:rsid w:val="006C05AB"/>
    <w:rsid w:val="006C3972"/>
    <w:rsid w:val="006D7B98"/>
    <w:rsid w:val="006E3735"/>
    <w:rsid w:val="006E65AC"/>
    <w:rsid w:val="006F085B"/>
    <w:rsid w:val="006F7B2C"/>
    <w:rsid w:val="007008F5"/>
    <w:rsid w:val="00703A37"/>
    <w:rsid w:val="00704E45"/>
    <w:rsid w:val="007142A8"/>
    <w:rsid w:val="00725A65"/>
    <w:rsid w:val="007408AE"/>
    <w:rsid w:val="00743256"/>
    <w:rsid w:val="00744B96"/>
    <w:rsid w:val="007532D5"/>
    <w:rsid w:val="00755125"/>
    <w:rsid w:val="00761E16"/>
    <w:rsid w:val="00762168"/>
    <w:rsid w:val="00776DAA"/>
    <w:rsid w:val="00781D8D"/>
    <w:rsid w:val="007870E6"/>
    <w:rsid w:val="00792831"/>
    <w:rsid w:val="007A4A1D"/>
    <w:rsid w:val="007B1C44"/>
    <w:rsid w:val="007B23C1"/>
    <w:rsid w:val="007C04FB"/>
    <w:rsid w:val="007C103E"/>
    <w:rsid w:val="007C3B45"/>
    <w:rsid w:val="007D4312"/>
    <w:rsid w:val="007D4D67"/>
    <w:rsid w:val="007E055A"/>
    <w:rsid w:val="007F0EDA"/>
    <w:rsid w:val="00804A77"/>
    <w:rsid w:val="00825BAC"/>
    <w:rsid w:val="008333AC"/>
    <w:rsid w:val="008334F8"/>
    <w:rsid w:val="00834767"/>
    <w:rsid w:val="00837988"/>
    <w:rsid w:val="00841D0E"/>
    <w:rsid w:val="00842FE6"/>
    <w:rsid w:val="00847D0C"/>
    <w:rsid w:val="00852857"/>
    <w:rsid w:val="00854632"/>
    <w:rsid w:val="00857868"/>
    <w:rsid w:val="00865E95"/>
    <w:rsid w:val="00870071"/>
    <w:rsid w:val="00877848"/>
    <w:rsid w:val="00892D7C"/>
    <w:rsid w:val="008A4E46"/>
    <w:rsid w:val="008B5463"/>
    <w:rsid w:val="008C6FB0"/>
    <w:rsid w:val="008D04D2"/>
    <w:rsid w:val="008E042F"/>
    <w:rsid w:val="008E16C7"/>
    <w:rsid w:val="008E363F"/>
    <w:rsid w:val="008F61D5"/>
    <w:rsid w:val="008F71C2"/>
    <w:rsid w:val="00900FC9"/>
    <w:rsid w:val="009040FD"/>
    <w:rsid w:val="009045FA"/>
    <w:rsid w:val="00911E3D"/>
    <w:rsid w:val="00944F2D"/>
    <w:rsid w:val="009561C3"/>
    <w:rsid w:val="00962CA5"/>
    <w:rsid w:val="00971D59"/>
    <w:rsid w:val="00981D1D"/>
    <w:rsid w:val="00982221"/>
    <w:rsid w:val="00983DBB"/>
    <w:rsid w:val="00984576"/>
    <w:rsid w:val="00984676"/>
    <w:rsid w:val="009870B6"/>
    <w:rsid w:val="00996592"/>
    <w:rsid w:val="009A25EE"/>
    <w:rsid w:val="009A35EF"/>
    <w:rsid w:val="009A6DC5"/>
    <w:rsid w:val="009A7700"/>
    <w:rsid w:val="009B7707"/>
    <w:rsid w:val="009C1128"/>
    <w:rsid w:val="009C1B31"/>
    <w:rsid w:val="009C6765"/>
    <w:rsid w:val="009C7C5D"/>
    <w:rsid w:val="009D3903"/>
    <w:rsid w:val="009D3D39"/>
    <w:rsid w:val="009D4082"/>
    <w:rsid w:val="009E04D6"/>
    <w:rsid w:val="00A11750"/>
    <w:rsid w:val="00A16566"/>
    <w:rsid w:val="00A17DBF"/>
    <w:rsid w:val="00A256E4"/>
    <w:rsid w:val="00A306E2"/>
    <w:rsid w:val="00A36BE1"/>
    <w:rsid w:val="00A416A3"/>
    <w:rsid w:val="00A43D87"/>
    <w:rsid w:val="00A442BF"/>
    <w:rsid w:val="00A46EC6"/>
    <w:rsid w:val="00A60DBC"/>
    <w:rsid w:val="00A634F4"/>
    <w:rsid w:val="00A72167"/>
    <w:rsid w:val="00A82449"/>
    <w:rsid w:val="00A85CEE"/>
    <w:rsid w:val="00A92752"/>
    <w:rsid w:val="00A9430B"/>
    <w:rsid w:val="00AA09D9"/>
    <w:rsid w:val="00AA4B7F"/>
    <w:rsid w:val="00AB06BF"/>
    <w:rsid w:val="00AC4B6F"/>
    <w:rsid w:val="00AD22B0"/>
    <w:rsid w:val="00AD38C5"/>
    <w:rsid w:val="00AD5DAC"/>
    <w:rsid w:val="00AD7D80"/>
    <w:rsid w:val="00AE0B94"/>
    <w:rsid w:val="00AE3238"/>
    <w:rsid w:val="00AF7877"/>
    <w:rsid w:val="00B05372"/>
    <w:rsid w:val="00B070F3"/>
    <w:rsid w:val="00B20ABD"/>
    <w:rsid w:val="00B2206C"/>
    <w:rsid w:val="00B3324C"/>
    <w:rsid w:val="00B35FD1"/>
    <w:rsid w:val="00B44329"/>
    <w:rsid w:val="00B458B2"/>
    <w:rsid w:val="00B45EB7"/>
    <w:rsid w:val="00B517A2"/>
    <w:rsid w:val="00B57E09"/>
    <w:rsid w:val="00B636E4"/>
    <w:rsid w:val="00B653EB"/>
    <w:rsid w:val="00B75924"/>
    <w:rsid w:val="00B75C55"/>
    <w:rsid w:val="00B84B15"/>
    <w:rsid w:val="00B85010"/>
    <w:rsid w:val="00B9185C"/>
    <w:rsid w:val="00BA623A"/>
    <w:rsid w:val="00BB0935"/>
    <w:rsid w:val="00BC08E6"/>
    <w:rsid w:val="00BC2E24"/>
    <w:rsid w:val="00BD051B"/>
    <w:rsid w:val="00BD0E3C"/>
    <w:rsid w:val="00BE5A9B"/>
    <w:rsid w:val="00BF1D63"/>
    <w:rsid w:val="00BF47D0"/>
    <w:rsid w:val="00BF7E99"/>
    <w:rsid w:val="00C0693F"/>
    <w:rsid w:val="00C13502"/>
    <w:rsid w:val="00C26D8E"/>
    <w:rsid w:val="00C26F35"/>
    <w:rsid w:val="00C37928"/>
    <w:rsid w:val="00C448C2"/>
    <w:rsid w:val="00C45B7D"/>
    <w:rsid w:val="00C5303C"/>
    <w:rsid w:val="00C62637"/>
    <w:rsid w:val="00C709B4"/>
    <w:rsid w:val="00C75B10"/>
    <w:rsid w:val="00C7709E"/>
    <w:rsid w:val="00C8765C"/>
    <w:rsid w:val="00C876DF"/>
    <w:rsid w:val="00C9010D"/>
    <w:rsid w:val="00C90692"/>
    <w:rsid w:val="00C9285D"/>
    <w:rsid w:val="00C928E2"/>
    <w:rsid w:val="00C977C2"/>
    <w:rsid w:val="00CB2B91"/>
    <w:rsid w:val="00CC022A"/>
    <w:rsid w:val="00CC4763"/>
    <w:rsid w:val="00CD6CB5"/>
    <w:rsid w:val="00D03380"/>
    <w:rsid w:val="00D16C5E"/>
    <w:rsid w:val="00D17D6A"/>
    <w:rsid w:val="00D2172A"/>
    <w:rsid w:val="00D25650"/>
    <w:rsid w:val="00D31F60"/>
    <w:rsid w:val="00D32413"/>
    <w:rsid w:val="00D45C2D"/>
    <w:rsid w:val="00D46F0B"/>
    <w:rsid w:val="00D52F2E"/>
    <w:rsid w:val="00D57DD9"/>
    <w:rsid w:val="00D74829"/>
    <w:rsid w:val="00DA33AF"/>
    <w:rsid w:val="00DB53B0"/>
    <w:rsid w:val="00DB5A17"/>
    <w:rsid w:val="00DC389B"/>
    <w:rsid w:val="00DC3DAB"/>
    <w:rsid w:val="00DC467C"/>
    <w:rsid w:val="00DC674E"/>
    <w:rsid w:val="00DC7E37"/>
    <w:rsid w:val="00DD3D5B"/>
    <w:rsid w:val="00DE0508"/>
    <w:rsid w:val="00DE2AF9"/>
    <w:rsid w:val="00DE697D"/>
    <w:rsid w:val="00DF4D1A"/>
    <w:rsid w:val="00DF65DF"/>
    <w:rsid w:val="00E04E77"/>
    <w:rsid w:val="00E14FF2"/>
    <w:rsid w:val="00E15F7F"/>
    <w:rsid w:val="00E16248"/>
    <w:rsid w:val="00E20333"/>
    <w:rsid w:val="00E27E23"/>
    <w:rsid w:val="00E312AC"/>
    <w:rsid w:val="00E33C60"/>
    <w:rsid w:val="00E42C77"/>
    <w:rsid w:val="00E44989"/>
    <w:rsid w:val="00E44A9D"/>
    <w:rsid w:val="00E4597C"/>
    <w:rsid w:val="00E55166"/>
    <w:rsid w:val="00E56507"/>
    <w:rsid w:val="00E61BE5"/>
    <w:rsid w:val="00E62243"/>
    <w:rsid w:val="00E6374D"/>
    <w:rsid w:val="00E7139F"/>
    <w:rsid w:val="00E770C7"/>
    <w:rsid w:val="00E800B7"/>
    <w:rsid w:val="00E80AEC"/>
    <w:rsid w:val="00E94FDB"/>
    <w:rsid w:val="00E95B86"/>
    <w:rsid w:val="00EB1D52"/>
    <w:rsid w:val="00EB2AA5"/>
    <w:rsid w:val="00EB4892"/>
    <w:rsid w:val="00EC04F8"/>
    <w:rsid w:val="00ED0B6C"/>
    <w:rsid w:val="00ED3F09"/>
    <w:rsid w:val="00ED5D52"/>
    <w:rsid w:val="00EE0BBB"/>
    <w:rsid w:val="00EE14CE"/>
    <w:rsid w:val="00EE4243"/>
    <w:rsid w:val="00EE4442"/>
    <w:rsid w:val="00EE63E0"/>
    <w:rsid w:val="00F007DB"/>
    <w:rsid w:val="00F15489"/>
    <w:rsid w:val="00F2599F"/>
    <w:rsid w:val="00F35590"/>
    <w:rsid w:val="00F359CE"/>
    <w:rsid w:val="00F45499"/>
    <w:rsid w:val="00F46EFC"/>
    <w:rsid w:val="00F5284F"/>
    <w:rsid w:val="00F545A5"/>
    <w:rsid w:val="00F54727"/>
    <w:rsid w:val="00F5790D"/>
    <w:rsid w:val="00F8399F"/>
    <w:rsid w:val="00F8614A"/>
    <w:rsid w:val="00F867AF"/>
    <w:rsid w:val="00F9437C"/>
    <w:rsid w:val="00FA169A"/>
    <w:rsid w:val="00FA4911"/>
    <w:rsid w:val="00FD1180"/>
    <w:rsid w:val="00FD7412"/>
    <w:rsid w:val="00FE1B58"/>
    <w:rsid w:val="00FF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4"/>
    <o:shapelayout v:ext="edit">
      <o:idmap v:ext="edit" data="1"/>
      <o:rules v:ext="edit">
        <o:r id="V:Rule49" type="connector" idref="#_x0000_s1096"/>
        <o:r id="V:Rule50" type="connector" idref="#_x0000_s1124"/>
        <o:r id="V:Rule51" type="connector" idref="#_x0000_s1104"/>
        <o:r id="V:Rule52" type="connector" idref="#_x0000_s1118"/>
        <o:r id="V:Rule53" type="connector" idref="#_x0000_s1102"/>
        <o:r id="V:Rule54" type="connector" idref="#_x0000_s1148"/>
        <o:r id="V:Rule55" type="connector" idref="#_x0000_s1109"/>
        <o:r id="V:Rule56" type="connector" idref="#_x0000_s1176"/>
        <o:r id="V:Rule57" type="connector" idref="#_x0000_s1139"/>
        <o:r id="V:Rule58" type="connector" idref="#_x0000_s1101"/>
        <o:r id="V:Rule59" type="connector" idref="#_x0000_s1169"/>
        <o:r id="V:Rule60" type="connector" idref="#_x0000_s1146"/>
        <o:r id="V:Rule61" type="connector" idref="#_x0000_s1164"/>
        <o:r id="V:Rule62" type="connector" idref="#_x0000_s1077"/>
        <o:r id="V:Rule63" type="connector" idref="#_x0000_s1073"/>
        <o:r id="V:Rule64" type="connector" idref="#_x0000_s1130"/>
        <o:r id="V:Rule65" type="connector" idref="#_x0000_s1111"/>
        <o:r id="V:Rule66" type="connector" idref="#_x0000_s1135"/>
        <o:r id="V:Rule67" type="connector" idref="#_x0000_s1132"/>
        <o:r id="V:Rule68" type="connector" idref="#_x0000_s1112"/>
        <o:r id="V:Rule69" type="connector" idref="#_x0000_s1081"/>
        <o:r id="V:Rule70" type="connector" idref="#_x0000_s1138"/>
        <o:r id="V:Rule71" type="connector" idref="#_x0000_s1173"/>
        <o:r id="V:Rule72" type="connector" idref="#_x0000_s1182"/>
        <o:r id="V:Rule73" type="connector" idref="#_x0000_s1178"/>
        <o:r id="V:Rule74" type="connector" idref="#_x0000_s1192"/>
        <o:r id="V:Rule75" type="connector" idref="#_x0000_s1147"/>
        <o:r id="V:Rule76" type="connector" idref="#_x0000_s1188"/>
        <o:r id="V:Rule77" type="connector" idref="#_x0000_s1072"/>
        <o:r id="V:Rule78" type="connector" idref="#_x0000_s1180"/>
        <o:r id="V:Rule79" type="connector" idref="#_x0000_s1117"/>
        <o:r id="V:Rule80" type="connector" idref="#_x0000_s1085"/>
        <o:r id="V:Rule81" type="connector" idref="#_x0000_s1110"/>
        <o:r id="V:Rule82" type="connector" idref="#_x0000_s1105"/>
        <o:r id="V:Rule83" type="connector" idref="#_x0000_s1076"/>
        <o:r id="V:Rule84" type="connector" idref="#_x0000_s1190"/>
        <o:r id="V:Rule85" type="connector" idref="#_x0000_s1107"/>
        <o:r id="V:Rule86" type="connector" idref="#_x0000_s1186"/>
        <o:r id="V:Rule87" type="connector" idref="#_x0000_s1134"/>
        <o:r id="V:Rule88" type="connector" idref="#_x0000_s1172"/>
        <o:r id="V:Rule89" type="connector" idref="#_x0000_s1153"/>
        <o:r id="V:Rule90" type="connector" idref="#_x0000_s1123"/>
        <o:r id="V:Rule91" type="connector" idref="#_x0000_s1106"/>
        <o:r id="V:Rule92" type="connector" idref="#_x0000_s1184"/>
        <o:r id="V:Rule93" type="connector" idref="#_x0000_s1080"/>
        <o:r id="V:Rule94" type="connector" idref="#_x0000_s1114"/>
        <o:r id="V:Rule95" type="connector" idref="#_x0000_s1067"/>
        <o:r id="V:Rule96" type="connector" idref="#_x0000_s11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"/>
    <w:aliases w:val="EmailStyle36"/>
    <w:basedOn w:val="DefaultParagraphFont"/>
    <w:uiPriority w:val="99"/>
    <w:semiHidden/>
    <w:personal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81">
    <w:name w:val="EmailStyle38"/>
    <w:aliases w:val="EmailStyle38"/>
    <w:basedOn w:val="DefaultParagraphFont"/>
    <w:uiPriority w:val="99"/>
    <w:semiHidden/>
    <w:personal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"/>
    <w:aliases w:val="EmailStyle39"/>
    <w:basedOn w:val="DefaultParagraphFont"/>
    <w:uiPriority w:val="99"/>
    <w:semiHidden/>
    <w:personal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6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://oaiss.state.pa.us/HR-Pay_Help_Desk/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cid:image001.png@01CD5F6D.417A9900" TargetMode="External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1.xm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Benefits_Alert_2012_xx_Description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26A773062147AD8D33B6EFD0BB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1F26-2ABD-4E81-A812-9D90766AC47A}"/>
      </w:docPartPr>
      <w:docPartBody>
        <w:p w:rsidR="00690852" w:rsidRDefault="00690852">
          <w:pPr>
            <w:pStyle w:val="8426A773062147AD8D33B6EFD0BBB03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FA69F9AE5E04418099414AEB6E7E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197F-1D09-4C3C-896D-1E2D423BA663}"/>
      </w:docPartPr>
      <w:docPartBody>
        <w:p w:rsidR="00690852" w:rsidRDefault="00690852">
          <w:pPr>
            <w:pStyle w:val="FA69F9AE5E04418099414AEB6E7EB99E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BB7C09DFAAD04B2C9272946EE2FD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F90A5-3705-42D4-814E-C2EE9A87BE5B}"/>
      </w:docPartPr>
      <w:docPartBody>
        <w:p w:rsidR="00690852" w:rsidRDefault="00690852">
          <w:pPr>
            <w:pStyle w:val="BB7C09DFAAD04B2C9272946EE2FD5436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94BE293E29714443B3C08BFCD683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20300-8941-4307-9B9B-2FE341164342}"/>
      </w:docPartPr>
      <w:docPartBody>
        <w:p w:rsidR="00690852" w:rsidRDefault="00690852">
          <w:pPr>
            <w:pStyle w:val="94BE293E29714443B3C08BFCD68306C0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20"/>
  <w:characterSpacingControl w:val="doNotCompress"/>
  <w:compat>
    <w:useFELayout/>
  </w:compat>
  <w:rsids>
    <w:rsidRoot w:val="00690852"/>
    <w:rsid w:val="000B3788"/>
    <w:rsid w:val="001C4C71"/>
    <w:rsid w:val="002C74CF"/>
    <w:rsid w:val="00361FCF"/>
    <w:rsid w:val="004A12E9"/>
    <w:rsid w:val="00611E27"/>
    <w:rsid w:val="00690852"/>
    <w:rsid w:val="006C1B70"/>
    <w:rsid w:val="00755D6E"/>
    <w:rsid w:val="008F4715"/>
    <w:rsid w:val="00A106FE"/>
    <w:rsid w:val="00A265E3"/>
    <w:rsid w:val="00A35005"/>
    <w:rsid w:val="00BE085F"/>
    <w:rsid w:val="00D47DE8"/>
    <w:rsid w:val="00DA1146"/>
    <w:rsid w:val="00DD5D45"/>
    <w:rsid w:val="00DE6BD9"/>
    <w:rsid w:val="00E271A5"/>
    <w:rsid w:val="00EA0735"/>
    <w:rsid w:val="00EA4334"/>
    <w:rsid w:val="00FA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852"/>
  </w:style>
  <w:style w:type="paragraph" w:customStyle="1" w:styleId="8426A773062147AD8D33B6EFD0BBB03C">
    <w:name w:val="8426A773062147AD8D33B6EFD0BBB03C"/>
    <w:rsid w:val="00690852"/>
  </w:style>
  <w:style w:type="paragraph" w:customStyle="1" w:styleId="FA69F9AE5E04418099414AEB6E7EB99E">
    <w:name w:val="FA69F9AE5E04418099414AEB6E7EB99E"/>
    <w:rsid w:val="00690852"/>
  </w:style>
  <w:style w:type="paragraph" w:customStyle="1" w:styleId="18D864C0490142F0B0946D0A6052F786">
    <w:name w:val="18D864C0490142F0B0946D0A6052F786"/>
    <w:rsid w:val="00690852"/>
  </w:style>
  <w:style w:type="paragraph" w:customStyle="1" w:styleId="BB7C09DFAAD04B2C9272946EE2FD5436">
    <w:name w:val="BB7C09DFAAD04B2C9272946EE2FD5436"/>
    <w:rsid w:val="00690852"/>
  </w:style>
  <w:style w:type="paragraph" w:customStyle="1" w:styleId="94BE293E29714443B3C08BFCD68306C0">
    <w:name w:val="94BE293E29714443B3C08BFCD68306C0"/>
    <w:rsid w:val="00690852"/>
  </w:style>
  <w:style w:type="paragraph" w:customStyle="1" w:styleId="38A48086DD334089804292FF23954661">
    <w:name w:val="38A48086DD334089804292FF23954661"/>
    <w:rsid w:val="00DE6BD9"/>
  </w:style>
  <w:style w:type="paragraph" w:customStyle="1" w:styleId="9B80973F102B4B19B7E8CDACBBD85CD5">
    <w:name w:val="9B80973F102B4B19B7E8CDACBBD85CD5"/>
    <w:rsid w:val="00DE6BD9"/>
  </w:style>
  <w:style w:type="paragraph" w:customStyle="1" w:styleId="30E5A1A3DBF94F6FAC6242E3820510CA">
    <w:name w:val="30E5A1A3DBF94F6FAC6242E3820510CA"/>
    <w:rsid w:val="00DE6BD9"/>
  </w:style>
  <w:style w:type="paragraph" w:customStyle="1" w:styleId="4AEE40A3A9B442B28A965E59E31F7932">
    <w:name w:val="4AEE40A3A9B442B28A965E59E31F7932"/>
    <w:rsid w:val="00DE6BD9"/>
  </w:style>
  <w:style w:type="paragraph" w:customStyle="1" w:styleId="5FC81839BC954C08B76E20E517FED074">
    <w:name w:val="5FC81839BC954C08B76E20E517FED074"/>
    <w:rsid w:val="00DE6BD9"/>
  </w:style>
  <w:style w:type="paragraph" w:customStyle="1" w:styleId="E255FA5AD3684376B2141685C201427A">
    <w:name w:val="E255FA5AD3684376B2141685C201427A"/>
    <w:rsid w:val="00DE6BD9"/>
  </w:style>
  <w:style w:type="paragraph" w:customStyle="1" w:styleId="1945812D6A0A423985E918904420D7B3">
    <w:name w:val="1945812D6A0A423985E918904420D7B3"/>
    <w:rsid w:val="00DE6BD9"/>
  </w:style>
  <w:style w:type="paragraph" w:customStyle="1" w:styleId="340FF6AB705D4508894BE9868695DB69">
    <w:name w:val="340FF6AB705D4508894BE9868695DB69"/>
    <w:rsid w:val="00DE6BD9"/>
  </w:style>
  <w:style w:type="paragraph" w:customStyle="1" w:styleId="BB96CB766869419FB361C64B47D167D1">
    <w:name w:val="BB96CB766869419FB361C64B47D167D1"/>
    <w:rsid w:val="00DE6BD9"/>
  </w:style>
  <w:style w:type="paragraph" w:customStyle="1" w:styleId="69D76778CA624B5C84A6F75FFE238CA8">
    <w:name w:val="69D76778CA624B5C84A6F75FFE238CA8"/>
    <w:rsid w:val="00BE085F"/>
  </w:style>
  <w:style w:type="paragraph" w:customStyle="1" w:styleId="CE8A1A58920D48AFAD1BF510B02F3EB5">
    <w:name w:val="CE8A1A58920D48AFAD1BF510B02F3EB5"/>
    <w:rsid w:val="000B3788"/>
  </w:style>
  <w:style w:type="paragraph" w:customStyle="1" w:styleId="E4C91D10BFEB4B0E83629256EFC52DA9">
    <w:name w:val="E4C91D10BFEB4B0E83629256EFC52DA9"/>
    <w:rsid w:val="000B3788"/>
  </w:style>
  <w:style w:type="paragraph" w:customStyle="1" w:styleId="8806A862C1B64C2F9EBE3740A7C37D6C">
    <w:name w:val="8806A862C1B64C2F9EBE3740A7C37D6C"/>
    <w:rsid w:val="006C1B70"/>
  </w:style>
  <w:style w:type="paragraph" w:customStyle="1" w:styleId="01E8E2488A0E49C8BDAC1BA91C79E25B">
    <w:name w:val="01E8E2488A0E49C8BDAC1BA91C79E25B"/>
    <w:rsid w:val="00FA12E4"/>
  </w:style>
  <w:style w:type="paragraph" w:customStyle="1" w:styleId="E74D5271C282473298C64CDD629EE617">
    <w:name w:val="E74D5271C282473298C64CDD629EE617"/>
    <w:rsid w:val="00FA12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8D35-C911-494E-8D9B-31E5C17D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Benefits_Alert_2012_xx_Description_Text</Template>
  <TotalTime>2002</TotalTime>
  <Pages>25</Pages>
  <Words>2480</Words>
  <Characters>13036</Characters>
  <Application>Microsoft Office Word</Application>
  <DocSecurity>0</DocSecurity>
  <Lines>566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Great-West Interface file and Availability of New Roth 457 Savings Plan</vt:lpstr>
    </vt:vector>
  </TitlesOfParts>
  <Company>Office of Administration</Company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Great-West Interface file and Availability of New Roth 457 Savings Plan</dc:title>
  <dc:subject>Information regarding the implementation of a Great-West interface file and the addition of a new Roth 457 plan</dc:subject>
  <dc:creator>judjackson</dc:creator>
  <cp:keywords>Description, Keywords, Operations, Benefits</cp:keywords>
  <dc:description/>
  <cp:lastModifiedBy>breyes</cp:lastModifiedBy>
  <cp:revision>53</cp:revision>
  <cp:lastPrinted>2011-02-25T13:44:00Z</cp:lastPrinted>
  <dcterms:created xsi:type="dcterms:W3CDTF">2012-05-30T16:56:00Z</dcterms:created>
  <dcterms:modified xsi:type="dcterms:W3CDTF">2012-07-18T15:41:00Z</dcterms:modified>
  <cp:category>Benefits Alert</cp:category>
  <cp:contentStatus>2012-04</cp:contentStatus>
</cp:coreProperties>
</file>